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0E" w:rsidRPr="000C4A06" w:rsidRDefault="00CA3E0E" w:rsidP="0039183E">
      <w:pPr>
        <w:rPr>
          <w:b/>
        </w:rPr>
      </w:pPr>
      <w:bookmarkStart w:id="0" w:name="R1"/>
      <w:bookmarkEnd w:id="0"/>
      <w:r w:rsidRPr="000C4A06">
        <w:rPr>
          <w:b/>
        </w:rPr>
        <w:t>Результаты расчётов</w:t>
      </w:r>
    </w:p>
    <w:p w:rsidR="008B586B" w:rsidRPr="007E1C28" w:rsidRDefault="008B586B" w:rsidP="00006C5F">
      <w:pPr>
        <w:spacing w:after="120"/>
        <w:rPr>
          <w:i/>
          <w:u w:val="single"/>
        </w:rPr>
      </w:pPr>
      <w:r w:rsidRPr="007E1C28">
        <w:rPr>
          <w:i/>
          <w:u w:val="single"/>
        </w:rPr>
        <w:t xml:space="preserve">Расчёт </w:t>
      </w:r>
      <w:r>
        <w:rPr>
          <w:i/>
          <w:u w:val="single"/>
        </w:rPr>
        <w:t>ниж</w:t>
      </w:r>
      <w:r w:rsidRPr="007E1C28">
        <w:rPr>
          <w:i/>
          <w:u w:val="single"/>
        </w:rPr>
        <w:t>ней границы</w:t>
      </w:r>
      <w:r>
        <w:rPr>
          <w:i/>
          <w:u w:val="single"/>
        </w:rPr>
        <w:t xml:space="preserve"> величины ущерба</w:t>
      </w:r>
    </w:p>
    <w:p w:rsidR="008B586B" w:rsidRDefault="008B586B" w:rsidP="008B586B">
      <w:pPr>
        <w:spacing w:after="60"/>
        <w:ind w:firstLine="709"/>
        <w:jc w:val="both"/>
      </w:pPr>
      <w:r>
        <w:t xml:space="preserve">При расчёте используются экспертные оценки доли работников предприятий, пользующихся электронной почтой, для каждого вида экономической деятельности. Исходя из этих оценок, а также того, что общемировое соотношение количества людей, использующих социальные сети, и людей, использующих электронную почту, составляет 4:3 (данные </w:t>
      </w:r>
      <w:proofErr w:type="spellStart"/>
      <w:r>
        <w:rPr>
          <w:lang w:val="en-US"/>
        </w:rPr>
        <w:t>ComScore</w:t>
      </w:r>
      <w:proofErr w:type="spellEnd"/>
      <w:r w:rsidRPr="0035097E">
        <w:t>)</w:t>
      </w:r>
      <w:r>
        <w:t xml:space="preserve">, можно получить число работников, занятых в данном виде экономической деятельности, пользующихся социальными сетями. Результаты расчётов приведены в </w:t>
      </w:r>
      <w:r w:rsidR="00FF402C">
        <w:t>Приложении</w:t>
      </w:r>
      <w:r>
        <w:t>.</w:t>
      </w:r>
    </w:p>
    <w:p w:rsidR="00CA3E0E" w:rsidRDefault="00CA3E0E" w:rsidP="00CA3E0E">
      <w:pPr>
        <w:spacing w:after="60"/>
        <w:ind w:firstLine="709"/>
        <w:jc w:val="both"/>
      </w:pPr>
      <w:r>
        <w:t xml:space="preserve">Согласно расчёту, нижняя граница размера ущерба для экономики от пользования </w:t>
      </w:r>
      <w:proofErr w:type="spellStart"/>
      <w:r>
        <w:t>соцсетями</w:t>
      </w:r>
      <w:proofErr w:type="spellEnd"/>
      <w:r>
        <w:t xml:space="preserve"> в рабочее время составила в 2012 г. 281,7 млрд. руб.</w:t>
      </w:r>
    </w:p>
    <w:p w:rsidR="00FF402C" w:rsidRPr="007E1C28" w:rsidRDefault="00FF402C" w:rsidP="00006C5F">
      <w:pPr>
        <w:spacing w:before="240" w:after="120"/>
        <w:rPr>
          <w:i/>
          <w:u w:val="single"/>
        </w:rPr>
      </w:pPr>
      <w:r w:rsidRPr="007E1C28">
        <w:rPr>
          <w:i/>
          <w:u w:val="single"/>
        </w:rPr>
        <w:t>Расчёт верхней границы</w:t>
      </w:r>
      <w:r>
        <w:rPr>
          <w:i/>
          <w:u w:val="single"/>
        </w:rPr>
        <w:t xml:space="preserve"> величины ущерба</w:t>
      </w:r>
    </w:p>
    <w:p w:rsidR="00FF402C" w:rsidRDefault="00FF402C" w:rsidP="00FF402C">
      <w:pPr>
        <w:spacing w:after="60"/>
        <w:ind w:firstLine="709"/>
        <w:jc w:val="both"/>
      </w:pPr>
      <w:r>
        <w:t xml:space="preserve">Необходимо принять во внимание, что, во-первых, не все работники зарегистрированы в </w:t>
      </w:r>
      <w:proofErr w:type="spellStart"/>
      <w:r>
        <w:t>соцсетях</w:t>
      </w:r>
      <w:proofErr w:type="spellEnd"/>
      <w:r>
        <w:t xml:space="preserve">, а во-вторых, среди тех, кто в них зарегистрирован, не все являются трудоспособными. По данным РИА Новости, в одной из самых популярных в России </w:t>
      </w:r>
      <w:proofErr w:type="spellStart"/>
      <w:r>
        <w:t>соцсетей</w:t>
      </w:r>
      <w:proofErr w:type="spellEnd"/>
      <w:r>
        <w:t xml:space="preserve"> – </w:t>
      </w:r>
      <w:proofErr w:type="spellStart"/>
      <w:r>
        <w:t>Вконтакте</w:t>
      </w:r>
      <w:proofErr w:type="spellEnd"/>
      <w:r>
        <w:t xml:space="preserve"> – доля работающих среди пользователей составляет 62% (остальные – учащиеся, домохозяйки и неработающие)</w:t>
      </w:r>
      <w:r w:rsidRPr="003F24A7">
        <w:rPr>
          <w:rStyle w:val="ae"/>
        </w:rPr>
        <w:t xml:space="preserve"> </w:t>
      </w:r>
      <w:r>
        <w:rPr>
          <w:rStyle w:val="ae"/>
        </w:rPr>
        <w:footnoteReference w:id="1"/>
      </w:r>
      <w:r>
        <w:t xml:space="preserve">; среди аудитории другой популярной сети – Одноклассники – преобладают, по данным РИА Новости, специалисты и руководители. Таким образом, занятое население, являющееся пользователями </w:t>
      </w:r>
      <w:proofErr w:type="spellStart"/>
      <w:r>
        <w:t>соцсетей</w:t>
      </w:r>
      <w:proofErr w:type="spellEnd"/>
      <w:r>
        <w:t xml:space="preserve">, составило в 2012 г. </w:t>
      </w:r>
    </w:p>
    <w:p w:rsidR="00FF402C" w:rsidRDefault="00FF402C" w:rsidP="00FF402C">
      <w:pPr>
        <w:spacing w:after="60"/>
        <w:jc w:val="center"/>
      </w:pPr>
      <w:r>
        <w:t xml:space="preserve">51,8 млн. чел. </w:t>
      </w:r>
      <w:proofErr w:type="spellStart"/>
      <w:r>
        <w:t>х</w:t>
      </w:r>
      <w:proofErr w:type="spellEnd"/>
      <w:r>
        <w:t xml:space="preserve"> 0,62 = 32,1 млн. чел.</w:t>
      </w:r>
    </w:p>
    <w:p w:rsidR="00FF402C" w:rsidRDefault="00FF402C" w:rsidP="00FF402C">
      <w:pPr>
        <w:spacing w:after="60"/>
        <w:ind w:firstLine="709"/>
        <w:jc w:val="both"/>
      </w:pPr>
      <w:r>
        <w:t xml:space="preserve">Среднегодовая численность занятых в 2012 г. составила 71,5 млн. чел., то есть немногим меньше половины работающего населения страны, согласно нашему допущению, активно пользовалось </w:t>
      </w:r>
      <w:proofErr w:type="spellStart"/>
      <w:r>
        <w:t>соцсетями</w:t>
      </w:r>
      <w:proofErr w:type="spellEnd"/>
      <w:r>
        <w:t>, в том числе в рабочее время.</w:t>
      </w:r>
    </w:p>
    <w:p w:rsidR="00FF402C" w:rsidRDefault="00FF402C" w:rsidP="00FF402C">
      <w:pPr>
        <w:spacing w:after="60"/>
        <w:ind w:firstLine="709"/>
        <w:jc w:val="both"/>
      </w:pPr>
      <w:r>
        <w:t xml:space="preserve">Росстат приводит данные об отработанных часах в среднем на одного работника (на крупных и средних предприятиях). В 2012 г. этот показатель составил </w:t>
      </w:r>
      <w:r w:rsidRPr="00202AF9">
        <w:t>1750,3</w:t>
      </w:r>
      <w:r>
        <w:t xml:space="preserve"> часов.  Среднемесячная заработная плата в 2012 г. (по России в целом) составила </w:t>
      </w:r>
      <w:r w:rsidRPr="00F2780B">
        <w:t>26628,9</w:t>
      </w:r>
      <w:r>
        <w:t xml:space="preserve"> руб. Таким образом, «стоимость» одного часа рабочего времени в 2012 г. составила </w:t>
      </w:r>
    </w:p>
    <w:p w:rsidR="00FF402C" w:rsidRDefault="00FF402C" w:rsidP="00FF402C">
      <w:pPr>
        <w:spacing w:after="60"/>
        <w:jc w:val="center"/>
      </w:pPr>
      <w:r w:rsidRPr="00F2780B">
        <w:t>26628,9</w:t>
      </w:r>
      <w:r>
        <w:t xml:space="preserve"> руб. </w:t>
      </w:r>
      <w:proofErr w:type="spellStart"/>
      <w:r>
        <w:t>х</w:t>
      </w:r>
      <w:proofErr w:type="spellEnd"/>
      <w:r>
        <w:t xml:space="preserve"> 12 мес. / </w:t>
      </w:r>
      <w:r w:rsidRPr="00202AF9">
        <w:t>1750,3</w:t>
      </w:r>
      <w:r>
        <w:t xml:space="preserve"> часов = 182,6 руб.</w:t>
      </w:r>
    </w:p>
    <w:p w:rsidR="00FF402C" w:rsidRDefault="00FF402C" w:rsidP="00FF402C">
      <w:pPr>
        <w:spacing w:after="60"/>
        <w:ind w:firstLine="709"/>
        <w:jc w:val="both"/>
      </w:pPr>
      <w:r>
        <w:t xml:space="preserve">Если теперь умножить этот показатель на величину потерь времени и на численность работников-пользователей </w:t>
      </w:r>
      <w:proofErr w:type="spellStart"/>
      <w:r>
        <w:t>соцсетей</w:t>
      </w:r>
      <w:proofErr w:type="spellEnd"/>
      <w:r>
        <w:t xml:space="preserve">, то мы получим верхнюю границу оценки потерь от использования </w:t>
      </w:r>
      <w:proofErr w:type="spellStart"/>
      <w:r>
        <w:t>соцсетей</w:t>
      </w:r>
      <w:proofErr w:type="spellEnd"/>
      <w:r>
        <w:t xml:space="preserve"> в рабочее время. Это число составляет </w:t>
      </w:r>
    </w:p>
    <w:p w:rsidR="00FF402C" w:rsidRDefault="00FF402C" w:rsidP="00FF402C">
      <w:pPr>
        <w:spacing w:after="60"/>
        <w:jc w:val="center"/>
      </w:pPr>
      <w:r>
        <w:t xml:space="preserve">182,6 руб. </w:t>
      </w:r>
      <w:proofErr w:type="spellStart"/>
      <w:r>
        <w:t>х</w:t>
      </w:r>
      <w:proofErr w:type="spellEnd"/>
      <w:r>
        <w:t xml:space="preserve"> 53,1 часа </w:t>
      </w:r>
      <w:proofErr w:type="spellStart"/>
      <w:r>
        <w:t>х</w:t>
      </w:r>
      <w:proofErr w:type="spellEnd"/>
      <w:r>
        <w:t xml:space="preserve"> 32,1 млн. чел. = 311,5 млрд. руб. </w:t>
      </w:r>
      <w:r>
        <w:rPr>
          <w:rStyle w:val="ae"/>
        </w:rPr>
        <w:footnoteReference w:id="2"/>
      </w:r>
    </w:p>
    <w:p w:rsidR="00FF402C" w:rsidRDefault="00FF402C" w:rsidP="00FF402C">
      <w:pPr>
        <w:spacing w:after="60"/>
        <w:ind w:firstLine="709"/>
        <w:jc w:val="both"/>
      </w:pPr>
      <w:r>
        <w:t xml:space="preserve">Однако следует учесть, что в разных видах экономической деятельности заработная плата может отличаться в разы, равно как и доля пользователей </w:t>
      </w:r>
      <w:proofErr w:type="spellStart"/>
      <w:r>
        <w:t>соцсетей</w:t>
      </w:r>
      <w:proofErr w:type="spellEnd"/>
      <w:r>
        <w:t xml:space="preserve"> в разных видах экономической деятельности. Эти уточнения приводят к уменьшению значения расчётного показателя ущерба, что и показал расчёт нижней границы величины ущерба. </w:t>
      </w:r>
    </w:p>
    <w:p w:rsidR="00FF402C" w:rsidRDefault="002B311D" w:rsidP="00FF402C">
      <w:pPr>
        <w:spacing w:after="60"/>
        <w:ind w:firstLine="709"/>
        <w:jc w:val="both"/>
      </w:pPr>
      <w:r>
        <w:lastRenderedPageBreak/>
        <w:t xml:space="preserve">В пользу уменьшения </w:t>
      </w:r>
      <w:r w:rsidR="00FF402C">
        <w:t>говорит и тот факт, что для расчёта «стоимости» одного часа рабочего времени использовались данные Росстата об отработанных часах, касающиеся только крупных и средних предприятий. Если бы было возможным использовать данные по всему кругу предприятий, это бы снизило «стоимость» одного часа рабочего времени и, соответственно, общие суммарные потери.</w:t>
      </w:r>
    </w:p>
    <w:p w:rsidR="00FF402C" w:rsidRDefault="00FF402C" w:rsidP="00FF402C">
      <w:pPr>
        <w:spacing w:after="60"/>
        <w:ind w:firstLine="709"/>
        <w:jc w:val="both"/>
        <w:rPr>
          <w:b/>
        </w:rPr>
      </w:pPr>
      <w:r w:rsidRPr="0035097E">
        <w:rPr>
          <w:b/>
        </w:rPr>
        <w:t xml:space="preserve">Таким образом, </w:t>
      </w:r>
      <w:r>
        <w:rPr>
          <w:b/>
        </w:rPr>
        <w:t>экономические потери</w:t>
      </w:r>
      <w:r w:rsidRPr="0035097E">
        <w:rPr>
          <w:b/>
        </w:rPr>
        <w:t xml:space="preserve"> от пользования </w:t>
      </w:r>
      <w:proofErr w:type="spellStart"/>
      <w:r w:rsidRPr="0035097E">
        <w:rPr>
          <w:b/>
        </w:rPr>
        <w:t>соцсетями</w:t>
      </w:r>
      <w:proofErr w:type="spellEnd"/>
      <w:r w:rsidRPr="0035097E">
        <w:rPr>
          <w:b/>
        </w:rPr>
        <w:t xml:space="preserve"> в рабочее время составил</w:t>
      </w:r>
      <w:r>
        <w:rPr>
          <w:b/>
        </w:rPr>
        <w:t>и</w:t>
      </w:r>
      <w:r w:rsidRPr="0035097E">
        <w:rPr>
          <w:b/>
        </w:rPr>
        <w:t xml:space="preserve"> в 2012 г.</w:t>
      </w:r>
      <w:r>
        <w:rPr>
          <w:b/>
        </w:rPr>
        <w:t xml:space="preserve"> в России </w:t>
      </w:r>
      <w:r w:rsidRPr="0035097E">
        <w:rPr>
          <w:b/>
        </w:rPr>
        <w:t>от 2</w:t>
      </w:r>
      <w:r>
        <w:rPr>
          <w:b/>
        </w:rPr>
        <w:t>81</w:t>
      </w:r>
      <w:r w:rsidRPr="0035097E">
        <w:rPr>
          <w:b/>
        </w:rPr>
        <w:t>,</w:t>
      </w:r>
      <w:r>
        <w:rPr>
          <w:b/>
        </w:rPr>
        <w:t>7</w:t>
      </w:r>
      <w:r w:rsidRPr="0035097E">
        <w:rPr>
          <w:b/>
        </w:rPr>
        <w:t xml:space="preserve"> до 3</w:t>
      </w:r>
      <w:r>
        <w:rPr>
          <w:b/>
        </w:rPr>
        <w:t>11</w:t>
      </w:r>
      <w:r w:rsidRPr="0035097E">
        <w:rPr>
          <w:b/>
        </w:rPr>
        <w:t>,</w:t>
      </w:r>
      <w:r>
        <w:rPr>
          <w:b/>
        </w:rPr>
        <w:t>5</w:t>
      </w:r>
      <w:r w:rsidRPr="0035097E">
        <w:rPr>
          <w:b/>
        </w:rPr>
        <w:t xml:space="preserve"> млрд. руб.</w:t>
      </w:r>
      <w:r>
        <w:rPr>
          <w:b/>
        </w:rPr>
        <w:t>, или около 10 млрд. долларов США.</w:t>
      </w:r>
    </w:p>
    <w:p w:rsidR="00FF402C" w:rsidRPr="008750CE" w:rsidRDefault="00FF402C" w:rsidP="001E6F96">
      <w:pPr>
        <w:spacing w:before="240" w:after="60"/>
        <w:ind w:firstLine="709"/>
        <w:jc w:val="both"/>
        <w:rPr>
          <w:i/>
        </w:rPr>
      </w:pPr>
      <w:proofErr w:type="spellStart"/>
      <w:r w:rsidRPr="008750CE">
        <w:rPr>
          <w:i/>
        </w:rPr>
        <w:t>Справочно</w:t>
      </w:r>
      <w:proofErr w:type="spellEnd"/>
    </w:p>
    <w:p w:rsidR="00FF402C" w:rsidRDefault="00FF402C" w:rsidP="00FF402C">
      <w:pPr>
        <w:pStyle w:val="af"/>
        <w:numPr>
          <w:ilvl w:val="0"/>
          <w:numId w:val="3"/>
        </w:numPr>
        <w:spacing w:after="60"/>
        <w:jc w:val="both"/>
      </w:pPr>
      <w:r>
        <w:t xml:space="preserve">Согласно исследованию </w:t>
      </w:r>
      <w:r w:rsidRPr="00FF402C">
        <w:rPr>
          <w:rStyle w:val="af0"/>
          <w:i w:val="0"/>
        </w:rPr>
        <w:t xml:space="preserve">британского </w:t>
      </w:r>
      <w:proofErr w:type="spellStart"/>
      <w:r w:rsidRPr="00FF402C">
        <w:rPr>
          <w:rStyle w:val="af0"/>
          <w:i w:val="0"/>
        </w:rPr>
        <w:t>рекрутингового</w:t>
      </w:r>
      <w:proofErr w:type="spellEnd"/>
      <w:r w:rsidRPr="00FF402C">
        <w:rPr>
          <w:rStyle w:val="af0"/>
          <w:i w:val="0"/>
        </w:rPr>
        <w:t xml:space="preserve"> портала MyJobGroup.co.uk, проведённому в августе 2010 г.,</w:t>
      </w:r>
      <w:r>
        <w:rPr>
          <w:rStyle w:val="af0"/>
          <w:b/>
        </w:rPr>
        <w:t xml:space="preserve"> </w:t>
      </w:r>
      <w:r>
        <w:t xml:space="preserve">ежегодные потери для британских компаний из-за того, что сотрудники проводят часть рабочего времени в социальных сетях, составляют 14 миллиардов фунтов стерлингов или 22,16 млрд. долларов США. </w:t>
      </w:r>
    </w:p>
    <w:p w:rsidR="00FF402C" w:rsidRDefault="00FF402C" w:rsidP="00FF402C">
      <w:pPr>
        <w:pStyle w:val="af"/>
        <w:spacing w:after="60"/>
        <w:jc w:val="both"/>
      </w:pPr>
      <w:r>
        <w:t>Согласно материалу «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», </w:t>
      </w:r>
      <w:r w:rsidRPr="00FF402C">
        <w:t>опубликованному </w:t>
      </w:r>
      <w:hyperlink r:id="rId8" w:history="1">
        <w:r w:rsidRPr="00FF402C">
          <w:rPr>
            <w:rStyle w:val="af0"/>
          </w:rPr>
          <w:t>LearnStuff.com</w:t>
        </w:r>
      </w:hyperlink>
      <w:r w:rsidRPr="00FF402C">
        <w:t xml:space="preserve"> 26 октября 2012 г.</w:t>
      </w:r>
      <w:r>
        <w:t>, ежегодные потери экономики США от социальных сетей составляют 650 млрд. долларов США. При расчёте учитывалось не только рабочее время, проведённое в социальных сетях, но и время, необходимое, чтобы вернуться к работе после таких перерывов.</w:t>
      </w:r>
    </w:p>
    <w:p w:rsidR="00FF402C" w:rsidRDefault="00FF402C" w:rsidP="00FF402C">
      <w:pPr>
        <w:pStyle w:val="af"/>
        <w:numPr>
          <w:ilvl w:val="0"/>
          <w:numId w:val="3"/>
        </w:numPr>
        <w:spacing w:after="60"/>
        <w:jc w:val="both"/>
      </w:pPr>
      <w:r>
        <w:t>Сумма экономических потерь России от социальных сетей сопоставима с такими показателями бюджета, как:</w:t>
      </w:r>
    </w:p>
    <w:p w:rsidR="00FF402C" w:rsidRDefault="00FF402C" w:rsidP="00FF402C">
      <w:pPr>
        <w:pStyle w:val="af"/>
        <w:numPr>
          <w:ilvl w:val="0"/>
          <w:numId w:val="4"/>
        </w:numPr>
        <w:spacing w:after="60"/>
        <w:jc w:val="both"/>
      </w:pPr>
      <w:r>
        <w:t>половина расходов на образование в 2012 г. – 293,1 млрд. руб.</w:t>
      </w:r>
    </w:p>
    <w:p w:rsidR="00FF402C" w:rsidRDefault="00FF402C" w:rsidP="00FF402C">
      <w:pPr>
        <w:pStyle w:val="af"/>
        <w:numPr>
          <w:ilvl w:val="0"/>
          <w:numId w:val="4"/>
        </w:numPr>
        <w:spacing w:after="60"/>
        <w:jc w:val="both"/>
      </w:pPr>
      <w:r>
        <w:t>суммарные расходы на жилищно-коммунальное хозяйство, культуру и кинематографию и средства массовой информации – 279,5 млрд. руб.</w:t>
      </w:r>
    </w:p>
    <w:p w:rsidR="00FF402C" w:rsidRDefault="00FF402C" w:rsidP="00FF402C">
      <w:pPr>
        <w:pStyle w:val="af"/>
        <w:numPr>
          <w:ilvl w:val="0"/>
          <w:numId w:val="4"/>
        </w:numPr>
        <w:spacing w:after="60"/>
        <w:jc w:val="both"/>
      </w:pPr>
      <w:r>
        <w:t>половина межбюджетных трансфертов – 276,9 млрд. руб.</w:t>
      </w:r>
    </w:p>
    <w:p w:rsidR="00FF402C" w:rsidRDefault="00FF402C" w:rsidP="00FF402C">
      <w:pPr>
        <w:pStyle w:val="af"/>
        <w:numPr>
          <w:ilvl w:val="0"/>
          <w:numId w:val="4"/>
        </w:numPr>
        <w:spacing w:after="60"/>
        <w:jc w:val="both"/>
      </w:pPr>
      <w:r>
        <w:t>удвоенные расходы на сельское хозяйство и рыболовство – 299,2 млрд. руб.</w:t>
      </w:r>
    </w:p>
    <w:p w:rsidR="00FF402C" w:rsidRDefault="00FF402C" w:rsidP="00FF402C">
      <w:pPr>
        <w:pStyle w:val="af"/>
        <w:numPr>
          <w:ilvl w:val="0"/>
          <w:numId w:val="4"/>
        </w:numPr>
        <w:spacing w:after="60"/>
        <w:jc w:val="both"/>
      </w:pPr>
      <w:r>
        <w:t>расходы на поддержку транспорта – 297,8 млрд. руб.</w:t>
      </w:r>
    </w:p>
    <w:p w:rsidR="00FF402C" w:rsidRPr="00FF402C" w:rsidRDefault="00FF402C" w:rsidP="00FF402C">
      <w:pPr>
        <w:pStyle w:val="af"/>
        <w:numPr>
          <w:ilvl w:val="0"/>
          <w:numId w:val="3"/>
        </w:numPr>
        <w:spacing w:after="60"/>
        <w:jc w:val="both"/>
      </w:pPr>
      <w:r>
        <w:t xml:space="preserve">По данным </w:t>
      </w:r>
      <w:proofErr w:type="spellStart"/>
      <w:r>
        <w:rPr>
          <w:lang w:val="en-US"/>
        </w:rPr>
        <w:t>Emarketer</w:t>
      </w:r>
      <w:proofErr w:type="spellEnd"/>
      <w:r>
        <w:t xml:space="preserve">, к концу 2012 г. число россиян - пользователей социальных сетей – достигло 51,8 млн. человек. По прогнозу </w:t>
      </w:r>
      <w:r w:rsidRPr="00E0115D">
        <w:rPr>
          <w:bCs/>
        </w:rPr>
        <w:t>РИА Новости</w:t>
      </w:r>
      <w:r>
        <w:t xml:space="preserve">, приведённому в презентации </w:t>
      </w:r>
      <w:r w:rsidRPr="00E0115D">
        <w:rPr>
          <w:bCs/>
        </w:rPr>
        <w:t xml:space="preserve">Директора Дирекции продвижения и социальных сетей </w:t>
      </w:r>
      <w:r w:rsidRPr="00E0115D">
        <w:t>Д.</w:t>
      </w:r>
      <w:r w:rsidRPr="00E0115D">
        <w:rPr>
          <w:rFonts w:eastAsia="+mn-ea" w:cs="Arial"/>
          <w:bCs/>
          <w:color w:val="FFFFFF"/>
          <w:kern w:val="24"/>
          <w:sz w:val="48"/>
          <w:szCs w:val="48"/>
          <w:lang w:eastAsia="ru-RU"/>
        </w:rPr>
        <w:t xml:space="preserve"> </w:t>
      </w:r>
      <w:proofErr w:type="spellStart"/>
      <w:r w:rsidRPr="00E0115D">
        <w:rPr>
          <w:bCs/>
        </w:rPr>
        <w:t>Пенчиловой</w:t>
      </w:r>
      <w:proofErr w:type="spellEnd"/>
      <w:r>
        <w:rPr>
          <w:bCs/>
        </w:rPr>
        <w:t xml:space="preserve">, этот показатель составляет 57,8 млн. человек. </w:t>
      </w:r>
    </w:p>
    <w:p w:rsidR="00FF402C" w:rsidRDefault="00FF402C" w:rsidP="00FF402C">
      <w:pPr>
        <w:pStyle w:val="af"/>
        <w:spacing w:after="60"/>
        <w:jc w:val="both"/>
      </w:pPr>
      <w:r>
        <w:t>В д</w:t>
      </w:r>
      <w:r w:rsidRPr="00FF402C">
        <w:rPr>
          <w:rStyle w:val="ae"/>
          <w:vertAlign w:val="baseline"/>
        </w:rPr>
        <w:t>оклад</w:t>
      </w:r>
      <w:r>
        <w:t>е</w:t>
      </w:r>
      <w:r w:rsidRPr="00FF402C">
        <w:rPr>
          <w:rStyle w:val="ae"/>
          <w:vertAlign w:val="baseline"/>
        </w:rPr>
        <w:t xml:space="preserve"> Фонд</w:t>
      </w:r>
      <w:r>
        <w:t>а</w:t>
      </w:r>
      <w:r w:rsidRPr="00FF402C">
        <w:rPr>
          <w:rStyle w:val="ae"/>
          <w:vertAlign w:val="baseline"/>
        </w:rPr>
        <w:t xml:space="preserve"> развития гражданского общества «Р</w:t>
      </w:r>
      <w:r w:rsidRPr="00FF402C">
        <w:t>унет сегодня</w:t>
      </w:r>
      <w:r w:rsidRPr="00FF402C">
        <w:rPr>
          <w:rStyle w:val="ae"/>
          <w:vertAlign w:val="baseline"/>
        </w:rPr>
        <w:t>: исследование россий</w:t>
      </w:r>
      <w:r>
        <w:rPr>
          <w:rStyle w:val="ae"/>
          <w:vertAlign w:val="baseline"/>
        </w:rPr>
        <w:t>ского интернета» от</w:t>
      </w:r>
      <w:r w:rsidRPr="00FF402C">
        <w:rPr>
          <w:rStyle w:val="ae"/>
          <w:vertAlign w:val="baseline"/>
        </w:rPr>
        <w:t xml:space="preserve"> 25 сентября 2012 г.</w:t>
      </w:r>
      <w:r>
        <w:t xml:space="preserve"> приводится показатель средней продолжительности пребывания россиян в социальных сетях в 2012 г., согласно исследованию  </w:t>
      </w:r>
      <w:proofErr w:type="gramStart"/>
      <w:r>
        <w:t>С</w:t>
      </w:r>
      <w:proofErr w:type="spellStart"/>
      <w:proofErr w:type="gramEnd"/>
      <w:r>
        <w:rPr>
          <w:lang w:val="en-US"/>
        </w:rPr>
        <w:t>omScore</w:t>
      </w:r>
      <w:proofErr w:type="spellEnd"/>
      <w:r>
        <w:t xml:space="preserve"> </w:t>
      </w:r>
      <w:r w:rsidR="001E6F96">
        <w:t>–</w:t>
      </w:r>
      <w:r>
        <w:t xml:space="preserve">  12,8 часов в месяц.</w:t>
      </w:r>
    </w:p>
    <w:p w:rsidR="00FF402C" w:rsidRDefault="00FF402C" w:rsidP="008B586B">
      <w:pPr>
        <w:sectPr w:rsidR="00FF402C" w:rsidSect="008C51B0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586B" w:rsidRPr="003A4E53" w:rsidRDefault="00E07412" w:rsidP="008B586B">
      <w:pPr>
        <w:rPr>
          <w:b/>
        </w:rPr>
      </w:pPr>
      <w:bookmarkStart w:id="1" w:name="R2"/>
      <w:bookmarkEnd w:id="1"/>
      <w:r>
        <w:rPr>
          <w:b/>
        </w:rPr>
        <w:lastRenderedPageBreak/>
        <w:t>Приложение</w:t>
      </w:r>
      <w:r w:rsidR="008B586B" w:rsidRPr="003A4E53">
        <w:rPr>
          <w:b/>
        </w:rPr>
        <w:t xml:space="preserve">. Расчёт </w:t>
      </w:r>
      <w:r w:rsidR="008B586B">
        <w:rPr>
          <w:b/>
        </w:rPr>
        <w:t>потерь</w:t>
      </w:r>
      <w:r w:rsidR="008B586B" w:rsidRPr="003A4E53">
        <w:rPr>
          <w:b/>
        </w:rPr>
        <w:t xml:space="preserve"> по видам экономической деятельности</w:t>
      </w:r>
      <w:r w:rsidR="008B586B">
        <w:rPr>
          <w:b/>
        </w:rPr>
        <w:t>, по данным за 2012 г.</w:t>
      </w:r>
    </w:p>
    <w:tbl>
      <w:tblPr>
        <w:tblW w:w="15169" w:type="dxa"/>
        <w:tblInd w:w="-34" w:type="dxa"/>
        <w:tblLayout w:type="fixed"/>
        <w:tblLook w:val="04A0"/>
      </w:tblPr>
      <w:tblGrid>
        <w:gridCol w:w="3970"/>
        <w:gridCol w:w="1134"/>
        <w:gridCol w:w="993"/>
        <w:gridCol w:w="991"/>
        <w:gridCol w:w="1276"/>
        <w:gridCol w:w="1135"/>
        <w:gridCol w:w="1134"/>
        <w:gridCol w:w="992"/>
        <w:gridCol w:w="1134"/>
        <w:gridCol w:w="1559"/>
        <w:gridCol w:w="851"/>
      </w:tblGrid>
      <w:tr w:rsidR="008B586B" w:rsidRPr="0035097E" w:rsidTr="001E6F96">
        <w:trPr>
          <w:trHeight w:val="103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2" w:name="RANGE!A20:K37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 экономической деятельности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1E6F9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работающих</w:t>
            </w:r>
            <w:proofErr w:type="gramEnd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 пользующихся электронной почтой,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Процент пользователей </w:t>
            </w:r>
            <w:proofErr w:type="spellStart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соцсетей</w:t>
            </w:r>
            <w:proofErr w:type="spellEnd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ВЭД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1E6F9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Номинальная заработная плата в ВЭД, руб./мес.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Номинальная заработная плата в </w:t>
            </w:r>
            <w:proofErr w:type="gramStart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агрегированном</w:t>
            </w:r>
            <w:proofErr w:type="gramEnd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ВЭД, руб./мес.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1E6F96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Число работающих в </w:t>
            </w:r>
            <w:proofErr w:type="gramStart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агрегирован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ном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ВЭД,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1E6F96">
            <w:pPr>
              <w:spacing w:after="0" w:line="240" w:lineRule="auto"/>
              <w:ind w:left="-109"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Процент пользователей </w:t>
            </w:r>
            <w:proofErr w:type="spellStart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соцсетей</w:t>
            </w:r>
            <w:proofErr w:type="spellEnd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ВЭД, агрегированный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CA3E0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Число пользователей </w:t>
            </w:r>
            <w:proofErr w:type="spellStart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соцсетей</w:t>
            </w:r>
            <w:proofErr w:type="spellEnd"/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ВЭД, 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1E6F96">
            <w:pPr>
              <w:spacing w:after="0"/>
              <w:ind w:left="-109" w:right="-10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Отработано в среднем на одного работника,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1E6F96">
            <w:pPr>
              <w:spacing w:after="0"/>
              <w:ind w:left="-109" w:right="-10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Отработано в среднем на одного работника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агрегированные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ВЭД),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CA3E0E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Потери</w:t>
            </w: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 млрд. руб.</w:t>
            </w: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8=(</w:t>
            </w: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)</w:t>
            </w:r>
            <w:proofErr w:type="spellStart"/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х</w:t>
            </w:r>
            <w:proofErr w:type="spellEnd"/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0113DE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586B" w:rsidRPr="000113DE" w:rsidRDefault="008B586B" w:rsidP="008C51B0">
            <w:pPr>
              <w:spacing w:after="0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86B" w:rsidRPr="000113DE" w:rsidRDefault="008B586B" w:rsidP="008C51B0">
            <w:pPr>
              <w:spacing w:after="0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0113DE" w:rsidRDefault="008B586B" w:rsidP="008C51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ru-RU"/>
              </w:rPr>
              <w:t>11*</w:t>
            </w:r>
          </w:p>
        </w:tc>
      </w:tr>
      <w:tr w:rsidR="008B586B" w:rsidRPr="0035097E" w:rsidTr="001E6F96">
        <w:trPr>
          <w:trHeight w:val="27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</w:t>
            </w:r>
            <w:proofErr w:type="gramStart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Сельское хозяйство, охота и 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14 129,4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14 619,6 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4 638,9 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4%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185,6 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1 862,8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83F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1 862,1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0,9 </w:t>
            </w: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</w:t>
            </w:r>
            <w:proofErr w:type="gramStart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Рыболовство, 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29 201,4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1 842,7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</w:t>
            </w:r>
            <w:proofErr w:type="gramStart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50 400,6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50 400,6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D 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24 511,7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24 511,7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10 796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32,5</w:t>
            </w: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E Производство и распределение электроэнергии, газа и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29 437,1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F 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25 950,6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25 950,6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</w:tr>
      <w:tr w:rsidR="008B586B" w:rsidRPr="0035097E" w:rsidTr="001E6F96">
        <w:trPr>
          <w:trHeight w:val="7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G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21 633,8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20 976,6 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12 816,2 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27%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3 417,7 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1 752,6 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26,1</w:t>
            </w: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8B586B" w:rsidRPr="0035097E" w:rsidTr="001E6F96">
        <w:trPr>
          <w:trHeight w:val="12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Н Гостиницы и рестораны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16 631,1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1 746,9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B586B" w:rsidRPr="0035097E" w:rsidTr="00F04610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I 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31 444,1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31 444,1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20,6</w:t>
            </w:r>
          </w:p>
        </w:tc>
      </w:tr>
      <w:tr w:rsidR="00F04610" w:rsidRPr="0035097E" w:rsidTr="0074720A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4610" w:rsidRPr="0035097E" w:rsidRDefault="00F04610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J Финансовая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58 999,2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36 210,5 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6 261,4 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83%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5 185,9 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610" w:rsidRDefault="00F04610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1 775,6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610" w:rsidRDefault="00F04610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1 762,7 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Default="00F04610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67,9</w:t>
            </w: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F04610" w:rsidRPr="0035097E" w:rsidTr="0074720A">
        <w:trPr>
          <w:trHeight w:val="4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04610" w:rsidRPr="0035097E" w:rsidRDefault="00F04610" w:rsidP="00D14A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K Операции с недвижимым имуществом, аренда и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30 925,8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610" w:rsidRDefault="00F04610" w:rsidP="00D14A4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1 759,7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610" w:rsidRDefault="00F04610" w:rsidP="00D14A4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04610" w:rsidRPr="0035097E" w:rsidRDefault="00F04610" w:rsidP="00D14A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B586B" w:rsidRPr="0035097E" w:rsidTr="001E6F96">
        <w:trPr>
          <w:trHeight w:val="1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L Государственное управление и обеспечение военной безопасности;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35 701,4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1 793,8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36,6</w:t>
            </w:r>
          </w:p>
        </w:tc>
      </w:tr>
      <w:tr w:rsidR="008B586B" w:rsidRPr="0035097E" w:rsidTr="001E6F96">
        <w:trPr>
          <w:trHeight w:val="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M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18 995,3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</w:t>
            </w:r>
          </w:p>
        </w:tc>
      </w:tr>
      <w:tr w:rsidR="008B586B" w:rsidRPr="0035097E" w:rsidTr="001E6F96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 N Здравоохранение и предоставление социальных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20 640,7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20 640,7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</w:t>
            </w:r>
          </w:p>
        </w:tc>
      </w:tr>
      <w:tr w:rsidR="008B586B" w:rsidRPr="0035097E" w:rsidTr="001E6F96">
        <w:trPr>
          <w:trHeight w:val="2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</w:t>
            </w:r>
            <w:proofErr w:type="gramStart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</w:t>
            </w:r>
            <w:proofErr w:type="gramEnd"/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Предоставление прочих коммунальных, социальных и персональных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20 984,5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20 996,2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1 764,2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586B" w:rsidRDefault="008B586B" w:rsidP="008C51B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19,3</w:t>
            </w:r>
          </w:p>
        </w:tc>
      </w:tr>
      <w:tr w:rsidR="008B586B" w:rsidRPr="0035097E" w:rsidTr="001E6F96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86B" w:rsidRPr="0035097E" w:rsidRDefault="008B586B" w:rsidP="008C5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в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35097E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09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2E1FBA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E1F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71539,9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2E1FBA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E1F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2E1FBA" w:rsidRDefault="008B586B" w:rsidP="008C51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2E1FB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28031,5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Pr="002E1FBA" w:rsidRDefault="008B586B" w:rsidP="008C51B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E1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1 750,3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6B" w:rsidRPr="002E1FBA" w:rsidRDefault="008B586B" w:rsidP="008C51B0">
            <w:pPr>
              <w:spacing w:after="0"/>
              <w:jc w:val="right"/>
              <w:rPr>
                <w:b/>
                <w:color w:val="000000"/>
              </w:rPr>
            </w:pPr>
            <w:r w:rsidRPr="002E1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1750,3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86B" w:rsidRPr="002E1FBA" w:rsidRDefault="008B586B" w:rsidP="008C51B0">
            <w:pPr>
              <w:spacing w:after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E1FBA">
              <w:rPr>
                <w:rFonts w:ascii="Arial" w:hAnsi="Arial" w:cs="Arial"/>
                <w:b/>
                <w:color w:val="000000"/>
                <w:sz w:val="18"/>
                <w:szCs w:val="18"/>
              </w:rPr>
              <w:t>281,7</w:t>
            </w:r>
          </w:p>
        </w:tc>
      </w:tr>
    </w:tbl>
    <w:p w:rsidR="008B586B" w:rsidRDefault="008B586B" w:rsidP="008B586B">
      <w:pPr>
        <w:spacing w:before="120" w:after="120"/>
        <w:rPr>
          <w:i/>
          <w:sz w:val="20"/>
          <w:szCs w:val="20"/>
        </w:rPr>
      </w:pP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>(</w:t>
      </w:r>
      <w:r w:rsidRPr="000113DE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>1)</w:t>
      </w:r>
      <w:r w:rsidRPr="000113DE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=12,8 мин.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>х</w:t>
      </w:r>
      <w:proofErr w:type="spellEnd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((5)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>х</w:t>
      </w:r>
      <w:proofErr w:type="spellEnd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12мес. / (10)) </w:t>
      </w:r>
      <w:proofErr w:type="spellStart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>х</w:t>
      </w:r>
      <w:proofErr w:type="spellEnd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(8)</w:t>
      </w:r>
    </w:p>
    <w:p w:rsidR="008B586B" w:rsidRDefault="008B586B" w:rsidP="001E6F96">
      <w:pPr>
        <w:rPr>
          <w:i/>
          <w:sz w:val="20"/>
          <w:szCs w:val="20"/>
        </w:rPr>
      </w:pPr>
      <w:r w:rsidRPr="00083F89">
        <w:rPr>
          <w:i/>
          <w:sz w:val="20"/>
          <w:szCs w:val="20"/>
        </w:rPr>
        <w:lastRenderedPageBreak/>
        <w:t>Источники: Росстат, ФБ</w:t>
      </w:r>
      <w:r w:rsidR="001E6F96">
        <w:rPr>
          <w:i/>
          <w:sz w:val="20"/>
          <w:szCs w:val="20"/>
        </w:rPr>
        <w:t>К</w:t>
      </w:r>
    </w:p>
    <w:sectPr w:rsidR="008B586B" w:rsidSect="00F04610">
      <w:headerReference w:type="default" r:id="rId10"/>
      <w:footerReference w:type="default" r:id="rId11"/>
      <w:head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35" w:rsidRDefault="00D51035">
      <w:r>
        <w:separator/>
      </w:r>
    </w:p>
  </w:endnote>
  <w:endnote w:type="continuationSeparator" w:id="0">
    <w:p w:rsidR="00D51035" w:rsidRDefault="00D5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96" w:rsidRPr="008E675B" w:rsidRDefault="006928AF" w:rsidP="00484DF5">
    <w:pPr>
      <w:pStyle w:val="a5"/>
      <w:spacing w:before="240"/>
      <w:jc w:val="right"/>
      <w:rPr>
        <w:sz w:val="18"/>
        <w:lang w:val="en-US"/>
      </w:rPr>
    </w:pPr>
    <w:r w:rsidRPr="008E675B">
      <w:rPr>
        <w:rStyle w:val="a6"/>
        <w:sz w:val="18"/>
      </w:rPr>
      <w:fldChar w:fldCharType="begin"/>
    </w:r>
    <w:r w:rsidR="001E6F96" w:rsidRPr="008E675B">
      <w:rPr>
        <w:rStyle w:val="a6"/>
        <w:sz w:val="18"/>
      </w:rPr>
      <w:instrText xml:space="preserve"> PAGE </w:instrText>
    </w:r>
    <w:r w:rsidRPr="008E675B">
      <w:rPr>
        <w:rStyle w:val="a6"/>
        <w:sz w:val="18"/>
      </w:rPr>
      <w:fldChar w:fldCharType="separate"/>
    </w:r>
    <w:r w:rsidR="00AA11D8">
      <w:rPr>
        <w:rStyle w:val="a6"/>
        <w:noProof/>
        <w:sz w:val="18"/>
      </w:rPr>
      <w:t>3</w:t>
    </w:r>
    <w:r w:rsidRPr="008E675B">
      <w:rPr>
        <w:rStyle w:val="a6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35" w:rsidRDefault="00D51035">
      <w:r>
        <w:separator/>
      </w:r>
    </w:p>
  </w:footnote>
  <w:footnote w:type="continuationSeparator" w:id="0">
    <w:p w:rsidR="00D51035" w:rsidRDefault="00D51035">
      <w:r>
        <w:continuationSeparator/>
      </w:r>
    </w:p>
  </w:footnote>
  <w:footnote w:id="1">
    <w:p w:rsidR="001E6F96" w:rsidRDefault="001E6F96" w:rsidP="00FF402C">
      <w:pPr>
        <w:pStyle w:val="ac"/>
      </w:pPr>
      <w:r>
        <w:rPr>
          <w:rStyle w:val="ae"/>
        </w:rPr>
        <w:footnoteRef/>
      </w:r>
      <w:r>
        <w:t xml:space="preserve"> Презентация </w:t>
      </w:r>
      <w:r w:rsidRPr="00E0115D">
        <w:rPr>
          <w:bCs/>
        </w:rPr>
        <w:t xml:space="preserve">Директора Дирекции продвижения и социальных сетей РИА Новости </w:t>
      </w:r>
      <w:r w:rsidRPr="00E0115D">
        <w:t>Д.</w:t>
      </w:r>
      <w:r w:rsidRPr="00E0115D">
        <w:rPr>
          <w:rFonts w:eastAsia="+mn-ea" w:cs="Arial"/>
          <w:bCs/>
          <w:color w:val="FFFFFF"/>
          <w:kern w:val="24"/>
          <w:sz w:val="48"/>
          <w:szCs w:val="48"/>
          <w:lang w:eastAsia="ru-RU"/>
        </w:rPr>
        <w:t xml:space="preserve"> </w:t>
      </w:r>
      <w:proofErr w:type="spellStart"/>
      <w:r w:rsidRPr="00E0115D">
        <w:rPr>
          <w:bCs/>
        </w:rPr>
        <w:t>Пенчиловой</w:t>
      </w:r>
      <w:proofErr w:type="spellEnd"/>
      <w:r>
        <w:rPr>
          <w:bCs/>
        </w:rPr>
        <w:t>.</w:t>
      </w:r>
    </w:p>
  </w:footnote>
  <w:footnote w:id="2">
    <w:p w:rsidR="001E6F96" w:rsidRDefault="001E6F96" w:rsidP="00FF402C">
      <w:pPr>
        <w:pStyle w:val="ac"/>
      </w:pPr>
      <w:r>
        <w:rPr>
          <w:rStyle w:val="ae"/>
        </w:rPr>
        <w:footnoteRef/>
      </w:r>
      <w:r>
        <w:t xml:space="preserve"> Если в расчёте использовать другую оценку численности работников-пользователей </w:t>
      </w:r>
      <w:proofErr w:type="spellStart"/>
      <w:r>
        <w:t>соцсетей</w:t>
      </w:r>
      <w:proofErr w:type="spellEnd"/>
      <w:r>
        <w:t xml:space="preserve">, основанную на оценке РИА Новости, то величина экономических потерь составит 182,6х53,1 </w:t>
      </w:r>
      <w:proofErr w:type="spellStart"/>
      <w:r>
        <w:t>х</w:t>
      </w:r>
      <w:proofErr w:type="spellEnd"/>
      <w:r>
        <w:t>(57,8х</w:t>
      </w:r>
      <w:proofErr w:type="gramStart"/>
      <w:r>
        <w:t>0</w:t>
      </w:r>
      <w:proofErr w:type="gramEnd"/>
      <w:r>
        <w:t>,62)=347,5 млрд. руб.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1679" w:type="dxa"/>
      <w:tblCellMar>
        <w:left w:w="0" w:type="dxa"/>
        <w:right w:w="0" w:type="dxa"/>
      </w:tblCellMar>
      <w:tblLook w:val="00BF"/>
    </w:tblPr>
    <w:tblGrid>
      <w:gridCol w:w="8188"/>
      <w:gridCol w:w="8188"/>
      <w:gridCol w:w="12987"/>
      <w:gridCol w:w="2316"/>
    </w:tblGrid>
    <w:tr w:rsidR="00EF6365" w:rsidRPr="005C521F" w:rsidTr="00EF6365">
      <w:trPr>
        <w:trHeight w:hRule="exact" w:val="1345"/>
      </w:trPr>
      <w:tc>
        <w:tcPr>
          <w:tcW w:w="8188" w:type="dxa"/>
        </w:tcPr>
        <w:p w:rsidR="00EF6365" w:rsidRDefault="00EF6365" w:rsidP="003A78AC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790575" cy="495300"/>
                <wp:effectExtent l="19050" t="0" r="9525" b="0"/>
                <wp:docPr id="2" name="Рисунок 3" descr="FBK_Logo_cont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FBK_Logo_cont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8" w:type="dxa"/>
        </w:tcPr>
        <w:p w:rsidR="00EF6365" w:rsidRDefault="00EF6365" w:rsidP="003A78AC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790575" cy="647700"/>
                <wp:effectExtent l="19050" t="0" r="9525" b="0"/>
                <wp:docPr id="7" name="Рисунок 4" descr="PKF_Logo_cont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PKF_Logo_cont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87" w:type="dxa"/>
        </w:tcPr>
        <w:p w:rsidR="00EF6365" w:rsidRDefault="00EF6365" w:rsidP="00BB0EEC">
          <w:pPr>
            <w:pStyle w:val="a4"/>
            <w:tabs>
              <w:tab w:val="clear" w:pos="4677"/>
              <w:tab w:val="clear" w:pos="9355"/>
            </w:tabs>
          </w:pPr>
        </w:p>
      </w:tc>
      <w:tc>
        <w:tcPr>
          <w:tcW w:w="2316" w:type="dxa"/>
        </w:tcPr>
        <w:p w:rsidR="00EF6365" w:rsidRPr="005C521F" w:rsidRDefault="00EF6365" w:rsidP="00BB0EEC">
          <w:r>
            <w:rPr>
              <w:noProof/>
              <w:lang w:eastAsia="ru-RU"/>
            </w:rPr>
            <w:drawing>
              <wp:inline distT="0" distB="0" distL="0" distR="0">
                <wp:extent cx="1019175" cy="828675"/>
                <wp:effectExtent l="19050" t="0" r="9525" b="0"/>
                <wp:docPr id="8" name="Рисунок 2" descr="PKF_logo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PKF_logo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6F96" w:rsidRDefault="001E6F9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/>
    </w:tblPr>
    <w:tblGrid>
      <w:gridCol w:w="7380"/>
      <w:gridCol w:w="1974"/>
    </w:tblGrid>
    <w:tr w:rsidR="001E6F96" w:rsidRPr="005C521F" w:rsidTr="005C521F">
      <w:trPr>
        <w:trHeight w:hRule="exact" w:val="1134"/>
      </w:trPr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:rsidR="001E6F96" w:rsidRDefault="001E6F96" w:rsidP="001B4B1B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790575" cy="495300"/>
                <wp:effectExtent l="19050" t="0" r="9525" b="0"/>
                <wp:docPr id="3" name="Рисунок 3" descr="FBK_Logo_cont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FBK_Logo_cont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4" w:type="dxa"/>
          <w:tcBorders>
            <w:top w:val="nil"/>
            <w:left w:val="nil"/>
            <w:bottom w:val="nil"/>
            <w:right w:val="nil"/>
          </w:tcBorders>
        </w:tcPr>
        <w:p w:rsidR="001E6F96" w:rsidRDefault="001E6F96" w:rsidP="001B4B1B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790575" cy="647700"/>
                <wp:effectExtent l="19050" t="0" r="9525" b="0"/>
                <wp:docPr id="4" name="Рисунок 4" descr="PKF_Logo_cont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 descr="PKF_Logo_cont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6F96" w:rsidRPr="00295D90" w:rsidRDefault="001E6F96" w:rsidP="00A318AE">
    <w:pPr>
      <w:pStyle w:val="a4"/>
      <w:rPr>
        <w:sz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85" w:type="dxa"/>
      <w:tblCellMar>
        <w:left w:w="0" w:type="dxa"/>
        <w:right w:w="0" w:type="dxa"/>
      </w:tblCellMar>
      <w:tblLook w:val="00BF"/>
    </w:tblPr>
    <w:tblGrid>
      <w:gridCol w:w="7110"/>
      <w:gridCol w:w="2275"/>
    </w:tblGrid>
    <w:tr w:rsidR="001E6F96" w:rsidRPr="005C521F" w:rsidTr="005C521F">
      <w:trPr>
        <w:trHeight w:hRule="exact" w:val="1644"/>
      </w:trPr>
      <w:tc>
        <w:tcPr>
          <w:tcW w:w="7088" w:type="dxa"/>
        </w:tcPr>
        <w:p w:rsidR="001E6F96" w:rsidRDefault="001E6F96" w:rsidP="005C521F">
          <w:pPr>
            <w:pStyle w:val="a4"/>
            <w:tabs>
              <w:tab w:val="clear" w:pos="4677"/>
              <w:tab w:val="clear" w:pos="9355"/>
            </w:tabs>
          </w:pPr>
          <w:r>
            <w:rPr>
              <w:noProof/>
            </w:rPr>
            <w:drawing>
              <wp:inline distT="0" distB="0" distL="0" distR="0">
                <wp:extent cx="1047750" cy="647700"/>
                <wp:effectExtent l="19050" t="0" r="0" b="0"/>
                <wp:docPr id="5" name="Рисунок 1" descr="FBK_logo-Blue-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FBK_logo-Blue-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1E6F96" w:rsidRPr="005C521F" w:rsidRDefault="001E6F96" w:rsidP="00B06E8E">
          <w:r>
            <w:rPr>
              <w:noProof/>
              <w:lang w:eastAsia="ru-RU"/>
            </w:rPr>
            <w:drawing>
              <wp:inline distT="0" distB="0" distL="0" distR="0">
                <wp:extent cx="1019175" cy="828675"/>
                <wp:effectExtent l="19050" t="0" r="9525" b="0"/>
                <wp:docPr id="6" name="Рисунок 2" descr="PKF_logo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PKF_logo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6F96" w:rsidRPr="00B06E8E" w:rsidRDefault="001E6F96" w:rsidP="00B06E8E">
    <w:pPr>
      <w:pStyle w:val="a4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297C"/>
    <w:multiLevelType w:val="hybridMultilevel"/>
    <w:tmpl w:val="4AE82AC6"/>
    <w:lvl w:ilvl="0" w:tplc="E46483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244FE5"/>
    <w:multiLevelType w:val="hybridMultilevel"/>
    <w:tmpl w:val="144867CE"/>
    <w:lvl w:ilvl="0" w:tplc="4CCEE74C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F97948"/>
    <w:multiLevelType w:val="hybridMultilevel"/>
    <w:tmpl w:val="FF480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590335"/>
    <w:multiLevelType w:val="hybridMultilevel"/>
    <w:tmpl w:val="6054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50D69"/>
    <w:rsid w:val="00006C5F"/>
    <w:rsid w:val="0008673A"/>
    <w:rsid w:val="000C4A06"/>
    <w:rsid w:val="00110D74"/>
    <w:rsid w:val="001652F2"/>
    <w:rsid w:val="00172076"/>
    <w:rsid w:val="001B2A0D"/>
    <w:rsid w:val="001B4B1B"/>
    <w:rsid w:val="001C3088"/>
    <w:rsid w:val="001E6F96"/>
    <w:rsid w:val="002405AC"/>
    <w:rsid w:val="0025497A"/>
    <w:rsid w:val="00264D8D"/>
    <w:rsid w:val="00295D90"/>
    <w:rsid w:val="002B311D"/>
    <w:rsid w:val="00350DAD"/>
    <w:rsid w:val="003847E5"/>
    <w:rsid w:val="0039183E"/>
    <w:rsid w:val="003B4142"/>
    <w:rsid w:val="003B52B2"/>
    <w:rsid w:val="00425474"/>
    <w:rsid w:val="00433C43"/>
    <w:rsid w:val="00484DF5"/>
    <w:rsid w:val="00492BBD"/>
    <w:rsid w:val="005824AA"/>
    <w:rsid w:val="005B6675"/>
    <w:rsid w:val="005C521F"/>
    <w:rsid w:val="006928AF"/>
    <w:rsid w:val="00711506"/>
    <w:rsid w:val="0073254F"/>
    <w:rsid w:val="007933D8"/>
    <w:rsid w:val="0079528A"/>
    <w:rsid w:val="00875A1D"/>
    <w:rsid w:val="00893194"/>
    <w:rsid w:val="0089600A"/>
    <w:rsid w:val="008B586B"/>
    <w:rsid w:val="008C51B0"/>
    <w:rsid w:val="008D63C3"/>
    <w:rsid w:val="008E4853"/>
    <w:rsid w:val="008E675B"/>
    <w:rsid w:val="008F39EB"/>
    <w:rsid w:val="008F62A0"/>
    <w:rsid w:val="009427C6"/>
    <w:rsid w:val="00962A4B"/>
    <w:rsid w:val="009C07E7"/>
    <w:rsid w:val="009D5191"/>
    <w:rsid w:val="00A318AE"/>
    <w:rsid w:val="00A61201"/>
    <w:rsid w:val="00A707F1"/>
    <w:rsid w:val="00A90AAE"/>
    <w:rsid w:val="00AA11D8"/>
    <w:rsid w:val="00AF1E1A"/>
    <w:rsid w:val="00B06E8E"/>
    <w:rsid w:val="00B92496"/>
    <w:rsid w:val="00BB0EEC"/>
    <w:rsid w:val="00C50AC9"/>
    <w:rsid w:val="00CA3E0E"/>
    <w:rsid w:val="00CE60FC"/>
    <w:rsid w:val="00D51035"/>
    <w:rsid w:val="00D670BE"/>
    <w:rsid w:val="00D70FF7"/>
    <w:rsid w:val="00DA0300"/>
    <w:rsid w:val="00DF3B36"/>
    <w:rsid w:val="00DF5830"/>
    <w:rsid w:val="00E07412"/>
    <w:rsid w:val="00E50D69"/>
    <w:rsid w:val="00E54D88"/>
    <w:rsid w:val="00E975B6"/>
    <w:rsid w:val="00ED1B23"/>
    <w:rsid w:val="00EF6365"/>
    <w:rsid w:val="00F04610"/>
    <w:rsid w:val="00F273EA"/>
    <w:rsid w:val="00FB6629"/>
    <w:rsid w:val="00FF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62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heading 1"/>
    <w:basedOn w:val="a"/>
    <w:next w:val="a0"/>
    <w:qFormat/>
    <w:rsid w:val="00711506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kern w:val="32"/>
      <w:szCs w:val="32"/>
      <w:lang w:eastAsia="ru-RU"/>
    </w:rPr>
  </w:style>
  <w:style w:type="paragraph" w:styleId="2">
    <w:name w:val="heading 2"/>
    <w:basedOn w:val="a"/>
    <w:next w:val="a0"/>
    <w:qFormat/>
    <w:rsid w:val="00711506"/>
    <w:pPr>
      <w:keepNext/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18"/>
      <w:szCs w:val="28"/>
      <w:lang w:eastAsia="ru-RU"/>
    </w:rPr>
  </w:style>
  <w:style w:type="paragraph" w:styleId="3">
    <w:name w:val="heading 3"/>
    <w:basedOn w:val="a"/>
    <w:next w:val="a0"/>
    <w:qFormat/>
    <w:rsid w:val="00711506"/>
    <w:pPr>
      <w:keepNext/>
      <w:spacing w:before="80" w:after="0" w:line="240" w:lineRule="auto"/>
      <w:jc w:val="both"/>
      <w:outlineLvl w:val="2"/>
    </w:pPr>
    <w:rPr>
      <w:rFonts w:ascii="Arial" w:eastAsia="Times New Roman" w:hAnsi="Arial" w:cs="Arial"/>
      <w:b/>
      <w:bCs/>
      <w:i/>
      <w:sz w:val="18"/>
      <w:szCs w:val="26"/>
      <w:lang w:eastAsia="ru-RU"/>
    </w:rPr>
  </w:style>
  <w:style w:type="paragraph" w:styleId="4">
    <w:name w:val="heading 4"/>
    <w:next w:val="a0"/>
    <w:qFormat/>
    <w:rsid w:val="0079528A"/>
    <w:pPr>
      <w:spacing w:before="80"/>
      <w:outlineLvl w:val="3"/>
    </w:pPr>
    <w:rPr>
      <w:rFonts w:ascii="Arial" w:hAnsi="Arial" w:cs="Arial"/>
      <w:i/>
      <w:sz w:val="18"/>
    </w:rPr>
  </w:style>
  <w:style w:type="paragraph" w:styleId="5">
    <w:name w:val="heading 5"/>
    <w:basedOn w:val="a0"/>
    <w:next w:val="a"/>
    <w:qFormat/>
    <w:rsid w:val="00B06E8E"/>
    <w:pPr>
      <w:spacing w:before="120" w:after="120" w:line="240" w:lineRule="auto"/>
      <w:outlineLvl w:val="4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ED1B23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footer"/>
    <w:basedOn w:val="a"/>
    <w:rsid w:val="00ED1B23"/>
    <w:pPr>
      <w:tabs>
        <w:tab w:val="center" w:pos="4677"/>
        <w:tab w:val="right" w:pos="9355"/>
      </w:tabs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styleId="a6">
    <w:name w:val="page number"/>
    <w:basedOn w:val="a1"/>
    <w:rsid w:val="00D70FF7"/>
    <w:rPr>
      <w:rFonts w:ascii="Arial" w:hAnsi="Arial"/>
      <w:sz w:val="20"/>
    </w:rPr>
  </w:style>
  <w:style w:type="paragraph" w:customStyle="1" w:styleId="a0">
    <w:name w:val="Текст документа"/>
    <w:rsid w:val="00B06E8E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">
    <w:name w:val="Маркированный список1"/>
    <w:basedOn w:val="a"/>
    <w:rsid w:val="00B06E8E"/>
    <w:pPr>
      <w:numPr>
        <w:numId w:val="1"/>
      </w:numPr>
      <w:tabs>
        <w:tab w:val="clear" w:pos="680"/>
        <w:tab w:val="num" w:pos="900"/>
      </w:tabs>
      <w:autoSpaceDE w:val="0"/>
      <w:autoSpaceDN w:val="0"/>
      <w:adjustRightInd w:val="0"/>
      <w:spacing w:before="60" w:after="0" w:line="240" w:lineRule="exact"/>
      <w:ind w:left="907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Нумерованный список1"/>
    <w:basedOn w:val="1"/>
    <w:rsid w:val="00B06E8E"/>
    <w:pPr>
      <w:numPr>
        <w:numId w:val="2"/>
      </w:numPr>
    </w:pPr>
  </w:style>
  <w:style w:type="table" w:styleId="a7">
    <w:name w:val="Table Grid"/>
    <w:basedOn w:val="a2"/>
    <w:rsid w:val="00711506"/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азвание_док"/>
    <w:next w:val="a0"/>
    <w:rsid w:val="00B06E8E"/>
    <w:pPr>
      <w:spacing w:line="280" w:lineRule="exact"/>
    </w:pPr>
    <w:rPr>
      <w:rFonts w:ascii="Arial" w:hAnsi="Arial" w:cs="Arial"/>
      <w:bCs/>
      <w:kern w:val="32"/>
      <w:sz w:val="28"/>
      <w:szCs w:val="32"/>
    </w:rPr>
  </w:style>
  <w:style w:type="paragraph" w:styleId="a9">
    <w:name w:val="Balloon Text"/>
    <w:basedOn w:val="a"/>
    <w:link w:val="aa"/>
    <w:rsid w:val="00E5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E50D69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1"/>
    <w:rsid w:val="00110D74"/>
  </w:style>
  <w:style w:type="character" w:styleId="ab">
    <w:name w:val="Strong"/>
    <w:basedOn w:val="a1"/>
    <w:uiPriority w:val="22"/>
    <w:qFormat/>
    <w:rsid w:val="00110D74"/>
    <w:rPr>
      <w:b/>
      <w:bCs/>
    </w:rPr>
  </w:style>
  <w:style w:type="paragraph" w:styleId="ac">
    <w:name w:val="footnote text"/>
    <w:basedOn w:val="a"/>
    <w:link w:val="ad"/>
    <w:uiPriority w:val="99"/>
    <w:unhideWhenUsed/>
    <w:rsid w:val="00110D7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110D74"/>
    <w:rPr>
      <w:rFonts w:ascii="Calibri" w:eastAsia="Calibri" w:hAnsi="Calibri" w:cs="Times New Roman"/>
      <w:lang w:eastAsia="en-US"/>
    </w:rPr>
  </w:style>
  <w:style w:type="character" w:styleId="ae">
    <w:name w:val="footnote reference"/>
    <w:basedOn w:val="a1"/>
    <w:uiPriority w:val="99"/>
    <w:unhideWhenUsed/>
    <w:rsid w:val="00110D74"/>
    <w:rPr>
      <w:vertAlign w:val="superscript"/>
    </w:rPr>
  </w:style>
  <w:style w:type="paragraph" w:styleId="af">
    <w:name w:val="List Paragraph"/>
    <w:basedOn w:val="a"/>
    <w:uiPriority w:val="34"/>
    <w:qFormat/>
    <w:rsid w:val="00264D8D"/>
    <w:pPr>
      <w:ind w:left="720"/>
      <w:contextualSpacing/>
    </w:pPr>
  </w:style>
  <w:style w:type="character" w:styleId="af0">
    <w:name w:val="Emphasis"/>
    <w:basedOn w:val="a1"/>
    <w:uiPriority w:val="20"/>
    <w:qFormat/>
    <w:rsid w:val="008B586B"/>
    <w:rPr>
      <w:i/>
      <w:iCs/>
    </w:rPr>
  </w:style>
  <w:style w:type="character" w:styleId="af1">
    <w:name w:val="Hyperlink"/>
    <w:basedOn w:val="a1"/>
    <w:uiPriority w:val="99"/>
    <w:unhideWhenUsed/>
    <w:rsid w:val="008B586B"/>
    <w:rPr>
      <w:color w:val="0000FF"/>
      <w:u w:val="single"/>
    </w:rPr>
  </w:style>
  <w:style w:type="character" w:styleId="af2">
    <w:name w:val="FollowedHyperlink"/>
    <w:basedOn w:val="a1"/>
    <w:rsid w:val="001652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stuff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hukovad\LOCALS~1\Temp\&#1060;&#1041;&#1050;-PKF(&#1088;&#1091;&#1089;.&#1103;&#1079;.&#1094;&#1074;&#1077;&#109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6CB7F-0002-4090-8039-081190F0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ФБК-PKF(рус.яз.цвет)</Template>
  <TotalTime>1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FBK-PKF</vt:lpstr>
    </vt:vector>
  </TitlesOfParts>
  <Company>FBK</Company>
  <LinksUpToDate>false</LinksUpToDate>
  <CharactersWithSpaces>7234</CharactersWithSpaces>
  <SharedDoc>false</SharedDoc>
  <HLinks>
    <vt:vector size="18" baseType="variant">
      <vt:variant>
        <vt:i4>3407913</vt:i4>
      </vt:variant>
      <vt:variant>
        <vt:i4>6</vt:i4>
      </vt:variant>
      <vt:variant>
        <vt:i4>0</vt:i4>
      </vt:variant>
      <vt:variant>
        <vt:i4>5</vt:i4>
      </vt:variant>
      <vt:variant>
        <vt:lpwstr>http://www.learnstuff.com/</vt:lpwstr>
      </vt:variant>
      <vt:variant>
        <vt:lpwstr/>
      </vt:variant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G2</vt:lpwstr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FBK-PKF</dc:title>
  <dc:creator>ZhukovAD</dc:creator>
  <cp:lastModifiedBy>NLatkina</cp:lastModifiedBy>
  <cp:revision>2</cp:revision>
  <cp:lastPrinted>1601-01-01T00:00:00Z</cp:lastPrinted>
  <dcterms:created xsi:type="dcterms:W3CDTF">2013-06-28T09:11:00Z</dcterms:created>
  <dcterms:modified xsi:type="dcterms:W3CDTF">2013-06-28T09:11:00Z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easeDateStr">
    <vt:lpwstr>15.01.2010</vt:lpwstr>
  </property>
</Properties>
</file>