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10500"/>
        <w:gridCol w:w="6"/>
      </w:tblGrid>
      <w:tr w:rsidR="00871D14" w:rsidTr="00871D14">
        <w:trPr>
          <w:tblCellSpacing w:w="0" w:type="dxa"/>
        </w:trPr>
        <w:tc>
          <w:tcPr>
            <w:tcW w:w="0" w:type="auto"/>
            <w:vAlign w:val="center"/>
            <w:hideMark/>
          </w:tcPr>
          <w:p w:rsidR="00871D14" w:rsidRDefault="00871D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871D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71D14" w:rsidRDefault="00871D14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noProof/>
                      <w:color w:val="1F497D"/>
                      <w:sz w:val="22"/>
                      <w:szCs w:val="22"/>
                    </w:rPr>
                    <w:drawing>
                      <wp:inline distT="0" distB="0" distL="0" distR="0">
                        <wp:extent cx="5724525" cy="2098720"/>
                        <wp:effectExtent l="19050" t="0" r="9525" b="0"/>
                        <wp:docPr id="1" name="Рисунок 6" descr="cid:image001.jpg@01CE7F0D.5D5225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cid:image001.jpg@01CE7F0D.5D5225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24525" cy="2098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71D14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7"/>
                    <w:gridCol w:w="10087"/>
                    <w:gridCol w:w="6"/>
                  </w:tblGrid>
                  <w:tr w:rsidR="00871D14">
                    <w:trPr>
                      <w:trHeight w:val="150"/>
                      <w:tblCellSpacing w:w="0" w:type="dxa"/>
                    </w:trPr>
                    <w:tc>
                      <w:tcPr>
                        <w:tcW w:w="408" w:type="dxa"/>
                        <w:shd w:val="clear" w:color="auto" w:fill="FFFFFF"/>
                        <w:vAlign w:val="center"/>
                        <w:hideMark/>
                      </w:tcPr>
                      <w:p w:rsidR="00871D14" w:rsidRDefault="00871D1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101" w:type="dxa"/>
                        <w:shd w:val="clear" w:color="auto" w:fill="FFFFFF"/>
                        <w:vAlign w:val="center"/>
                        <w:hideMark/>
                      </w:tcPr>
                      <w:p w:rsidR="00871D14" w:rsidRDefault="00871D1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shd w:val="clear" w:color="auto" w:fill="FFFFFF"/>
                        <w:vAlign w:val="center"/>
                        <w:hideMark/>
                      </w:tcPr>
                      <w:p w:rsidR="00871D14" w:rsidRDefault="00871D1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D14">
                    <w:trPr>
                      <w:trHeight w:val="420"/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871D14" w:rsidRDefault="00871D14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p w:rsidR="00871D14" w:rsidRDefault="00871D1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871D14" w:rsidRDefault="00871D1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D14">
                    <w:trPr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871D14" w:rsidRDefault="00871D1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p w:rsidR="00871D14" w:rsidRDefault="00871D14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487"/>
                          <w:gridCol w:w="600"/>
                        </w:tblGrid>
                        <w:tr w:rsidR="00871D1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871D14" w:rsidRDefault="00871D1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36"/>
                                  <w:szCs w:val="36"/>
                                </w:rPr>
                                <w:t>Рынок акций</w:t>
                              </w: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871D14" w:rsidRDefault="00871D14">
                              <w:pPr>
                                <w:spacing w:after="240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2" name="Рисунок 2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r:link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br/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b/>
                                  <w:bCs/>
                                  <w:color w:val="1F497D"/>
                                  <w:sz w:val="22"/>
                                  <w:szCs w:val="22"/>
                                </w:rPr>
                              </w:pP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На неделе динамику российского рынка по-прежнему будут определять новости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br/>
                                <w:t xml:space="preserve">с Украины. Несмотря на шаги, направленные на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деэскалацию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конфликта, многие вопросы, в том числе газовые контракты и Крым,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остаются нерешенными и в краткосрочной перспективе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будут оставаться на повестке дня. В то же время потенциал роста, возникший на волне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деэскалации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, уже отыгран, а возвращение нефтяных котировок к средним значениям может стать триггером краткосрочной коррекции.   </w:t>
                              </w: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На развитых площадках в центре внимания будет заседание ЕЦБ и последующие за ним комментарии М. Драги.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Рынок не ожидает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как изменений ставок, так и корректировок стимулирующих программ, запущенных в прошлом месяце, поэтому сильных колебаний на европейских рынках не ожидается. В то же время на рынок будет влиять выходящая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макростатистика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: в еврозоне выйдут июньский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PMI</w:t>
                              </w:r>
                              <w:r w:rsidRPr="00871D14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br/>
                                <w:t xml:space="preserve">и майские данные по уровню безработицы, динамике розничных продаж и индекс цен производителей, в США − июньский блок данных с рынка труда и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ISM</w:t>
                              </w:r>
                              <w:r w:rsidRPr="00871D14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PMI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. На развивающихся рынках в центре внимания −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HSBC</w:t>
                              </w:r>
                              <w:r w:rsidRPr="00871D14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PMI</w:t>
                              </w:r>
                              <w:r w:rsidRPr="00871D14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в промышленном секторе Китая за июнь.  </w:t>
                              </w: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Наши основные рекомендации остаются прежними: из рублевых активов предпочтение отдаем надежным дивидендным историям и сохраняем высокую долю акций крупных компаний с развитых рынков. </w:t>
                              </w: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36"/>
                                  <w:szCs w:val="36"/>
                                </w:rPr>
                                <w:lastRenderedPageBreak/>
                                <w:t>Рынок облигаций</w:t>
                              </w:r>
                            </w:p>
                            <w:p w:rsidR="00871D14" w:rsidRDefault="00871D14">
                              <w:pPr>
                                <w:spacing w:after="240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noProof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3" name="Рисунок 3" descr="cid:image004.jpg@01CE7BFE.B94C54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id:image004.jpg@01CE7BFE.B94C54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r:link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Алексей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Губин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, 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br/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аналитик УК «Альфа-Капитал»</w:t>
                              </w: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</w:pP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На прошлой неделе рынок рублевых облигаций показывал позитивную динамику, чему способствовал внешний новостной фон в начале недели. Доходность по длинным ОФЗ снижалась, в частности ОФЗ серии 26207 закрывала неделю с доходностью на уровне 8,43%, что совсем близко к уровню начала марта текущего года.</w:t>
                              </w: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 xml:space="preserve">Интерес инвесторов наблюдается в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</w:rPr>
                                <w:t>квазисуверенном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</w:rPr>
                                <w:t xml:space="preserve"> сегменте. Последние размещения облигаций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</w:rPr>
                                <w:t xml:space="preserve">Липецкой области, Красноярского края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 xml:space="preserve">торгуются выше номинала. Так же на прошлой неделе закрылась книга заявок на приобретение облигаций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</w:rPr>
                                <w:t>Белгородской области</w:t>
                              </w:r>
                              <w:r>
                                <w:rPr>
                                  <w:rFonts w:ascii="Calibri" w:hAnsi="Calibri"/>
                                </w:rPr>
                                <w:t xml:space="preserve">. Купон составил 10,65%, что соответствует доходности к погашению 11,08%. </w:t>
                              </w:r>
                              <w:r>
                                <w:rPr>
                                  <w:rFonts w:ascii="Calibri" w:hAnsi="Calibri"/>
                                </w:rPr>
                                <w:br/>
                                <w:t>На наш взгляд, стоит присмотреться к данному инструменту.</w:t>
                              </w: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 xml:space="preserve">Также неторопливыми шагами появляется активность в качественных бумагах "второго эшелона". Инвесторы переключили часть внимания на ценные бумаги данного сегмента </w:t>
                              </w:r>
                              <w:r>
                                <w:rPr>
                                  <w:rFonts w:ascii="Calibri" w:hAnsi="Calibri"/>
                                </w:rPr>
                                <w:br/>
                                <w:t xml:space="preserve">с доходностью 9,5−10+% −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</w:rPr>
                                <w:t>Башнефть-7/9, НПК БО-1/2</w:t>
                              </w:r>
                              <w:r>
                                <w:rPr>
                                  <w:rFonts w:ascii="Calibri" w:hAnsi="Calibri"/>
                                </w:rPr>
                                <w:t xml:space="preserve">, облигации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</w:rPr>
                                <w:t>Металлоинвеста-2/3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.</w:t>
                              </w: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</w:pP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36"/>
                                  <w:szCs w:val="36"/>
                                </w:rPr>
                                <w:t>Рынок сырьевых товаров</w:t>
                              </w:r>
                            </w:p>
                            <w:p w:rsidR="00871D14" w:rsidRDefault="00871D14">
                              <w:pPr>
                                <w:spacing w:after="240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4" name="Рисунок 4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r:link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br/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Прошедшая неделя для золота была спокойной: +0,1% по итогам недели. Основной макроэкономической статистикой были данные по ВВП США, который, по финальным данным, сократился в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квартале на 2,9% в годовом выражении. С другой стороны, на золото давят хорошие данные по индексу потребительского доверия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br/>
                                <w:t xml:space="preserve">и продажи домов − как новых, так и на вторичном рынке.  </w:t>
                              </w: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С рынка металлов платиновой группы уходит фактор забастовки шахтеров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br/>
                                <w:t xml:space="preserve">в Южной Африке, которая продолжалась в течение пяти месяцев. По разным оценкам, на возврат производства платиноидов на уровни прошлого года уйдет порядка трех месяцев. Кроме того, на рынке палладия в 2014 году ожидается дефицит около 1,6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млн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унций, в 2013 году дефицит составлял 371 тыс. унций.</w:t>
                              </w: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На рынке нефти происходит стабилизация после обострения событий в Ираке. Кроме того, на нефть давят данные по запасам нефти в США, которые выросли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br/>
                                <w:t xml:space="preserve">до 1,7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млн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баррелей, при ожидании сокращения запасов на 1,6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млн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барреллй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. Цены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br/>
                                <w:t>на природный газ оказались под давлением стабильно высоких запасов природного газа в хранилищах.</w:t>
                              </w: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Рынок промышленных металлов позитивно отреагировал на предварительные данные по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HSBC</w:t>
                              </w:r>
                              <w:r w:rsidRPr="00871D14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PMI</w:t>
                              </w:r>
                              <w:r w:rsidRPr="00871D14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Китая, который вырос до 50,8 пункта. Также рынок меди поддерживают данные по импорту меди в Китай, который составил 282 963 т, 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br/>
                                <w:t>или +19% г/г роста.</w:t>
                              </w: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На рынке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агрокультур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движения разнонаправленные, соевые бобы выросли по итогам недели на 1,1% на данных по экспорту. Наибольшее снижение было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отмеченно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на рынке хлопка, цены на который упали на 8,2%. Основным событием на рынке хлопка было снижение импорта хлопка в Китай  за май на 45% в годовом выражении. </w:t>
                              </w: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871D14" w:rsidRDefault="00871D14">
                              <w:pPr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871D14" w:rsidRDefault="00871D1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871D14" w:rsidRDefault="00871D1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871D14" w:rsidRDefault="00871D1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71D14" w:rsidRDefault="00871D14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lastRenderedPageBreak/>
                    <w:drawing>
                      <wp:inline distT="0" distB="0" distL="0" distR="0">
                        <wp:extent cx="6029325" cy="689066"/>
                        <wp:effectExtent l="19050" t="0" r="0" b="0"/>
                        <wp:docPr id="5" name="Рисунок 2" descr="cid:image004.gif@01CF1B7C.B25E1A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cid:image004.gif@01CF1B7C.B25E1A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48466" cy="6912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71D14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71D14" w:rsidRDefault="00871D1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71D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71D14" w:rsidRDefault="00871D1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71D14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71D14" w:rsidRDefault="00871D1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871D14" w:rsidRDefault="00871D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1D14" w:rsidRDefault="00871D1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94A55" w:rsidRDefault="00B94A55"/>
    <w:sectPr w:rsidR="00B94A55" w:rsidSect="00B94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D14"/>
    <w:rsid w:val="00871D14"/>
    <w:rsid w:val="00B9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1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D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D1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2.jpg@01CF9487.AAB41C6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4.gif@01CF9487.AAB41C60" TargetMode="External"/><Relationship Id="rId5" Type="http://schemas.openxmlformats.org/officeDocument/2006/relationships/image" Target="cid:image001.jpg@01CF9487.AAB41C60" TargetMode="External"/><Relationship Id="rId10" Type="http://schemas.openxmlformats.org/officeDocument/2006/relationships/image" Target="media/image4.gif"/><Relationship Id="rId4" Type="http://schemas.openxmlformats.org/officeDocument/2006/relationships/image" Target="media/image1.jpeg"/><Relationship Id="rId9" Type="http://schemas.openxmlformats.org/officeDocument/2006/relationships/image" Target="cid:image003.jpg@01CF9487.AAB41C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3559</Characters>
  <Application>Microsoft Office Word</Application>
  <DocSecurity>0</DocSecurity>
  <Lines>77</Lines>
  <Paragraphs>24</Paragraphs>
  <ScaleCrop>false</ScaleCrop>
  <Company>Finam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igrodzinskaya</dc:creator>
  <cp:lastModifiedBy>igrodzinskaya</cp:lastModifiedBy>
  <cp:revision>1</cp:revision>
  <dcterms:created xsi:type="dcterms:W3CDTF">2014-06-30T13:40:00Z</dcterms:created>
  <dcterms:modified xsi:type="dcterms:W3CDTF">2014-06-30T13:41:00Z</dcterms:modified>
</cp:coreProperties>
</file>