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562" w:rsidRDefault="00655562" w:rsidP="00655562">
      <w:r>
        <w:t>Безыдейный рынок</w:t>
      </w:r>
    </w:p>
    <w:p w:rsidR="00655562" w:rsidRDefault="00655562" w:rsidP="00655562"/>
    <w:p w:rsidR="00655562" w:rsidRDefault="00655562" w:rsidP="00655562">
      <w:r>
        <w:t>В последнюю неделю мая российский фондовый рынок отыграл часть утерянных в последние четыре недели позиции, однако, это лишь очень незначительная их часть. Индексы РТС и ММВБ выросли на 1,8 и 2,1, достигнув уровней второй декады мая, когда наблюдалась консолидация котировок перед новым витком снижения.</w:t>
      </w:r>
    </w:p>
    <w:p w:rsidR="00655562" w:rsidRDefault="00655562" w:rsidP="00655562"/>
    <w:p w:rsidR="00655562" w:rsidRDefault="00655562" w:rsidP="00655562">
      <w:r>
        <w:t>Опережающим ростом российский фондовый рынок обязан сырьевым биржам, где зафиксирован 1,5%-ный рост цен на нефть и рост цен на металлы до 6% (никель продемонстрировал 5,7%-ное падение стоимости фьючерсных контрактов).</w:t>
      </w:r>
    </w:p>
    <w:p w:rsidR="00655562" w:rsidRDefault="00655562" w:rsidP="00655562"/>
    <w:p w:rsidR="00655562" w:rsidRDefault="00655562" w:rsidP="00655562">
      <w:r>
        <w:t xml:space="preserve">Развивающиеся рынки в исследуемый период закрылись в </w:t>
      </w:r>
      <w:proofErr w:type="spellStart"/>
      <w:r>
        <w:t>слабоотрицательной</w:t>
      </w:r>
      <w:proofErr w:type="spellEnd"/>
      <w:r>
        <w:t xml:space="preserve"> зоне, на фоне неразрешенных долговых проблем еврозоны, но хорошей корпоративной отчетности. Развивающиеся рынки закрыли неделю преимущественно в плюсе, MSCI GEM (+0,6%), исключение составили рынки EM </w:t>
      </w:r>
      <w:proofErr w:type="spellStart"/>
      <w:r>
        <w:t>Asia</w:t>
      </w:r>
      <w:proofErr w:type="spellEnd"/>
      <w:r>
        <w:t>, -0,5%.</w:t>
      </w:r>
    </w:p>
    <w:p w:rsidR="00655562" w:rsidRDefault="00655562" w:rsidP="00655562"/>
    <w:p w:rsidR="00655562" w:rsidRDefault="00655562" w:rsidP="00655562">
      <w:r>
        <w:t>По итогам месяца российский фондовый рынок торгуется в аутсайдерах (-8%), пропуская вперед лишь Турцию (-10%). По итогам с начала года индекс РТС торгуется с приростом в 5,3%, индекс ММВБ - не вышел из отрицательной зоны, -2,3%.</w:t>
      </w:r>
    </w:p>
    <w:p w:rsidR="00655562" w:rsidRDefault="00655562" w:rsidP="00655562"/>
    <w:p w:rsidR="00655562" w:rsidRDefault="00655562" w:rsidP="00655562">
      <w:r>
        <w:t xml:space="preserve">Активность торгов, вместе с тем, была невысокой, вследствие падения ликвидности на фоне возросших - на фоне налоговых и прочих выплат. В силу названного фактора опережающими темпами на прошлой неделе дорожали акции нефтегазового сектора, +2,3%. Хуже других котировались ценные бумаги электроэнергетических компаний, на фоне непопулярных заявлений министра энергетики С. </w:t>
      </w:r>
      <w:proofErr w:type="spellStart"/>
      <w:r>
        <w:t>Шматко</w:t>
      </w:r>
      <w:proofErr w:type="spellEnd"/>
      <w:r>
        <w:t xml:space="preserve"> о том, что "государство должно увеличивать свое присутствие в энергетическом секторе, если компании не смогут самостоятельно справиться с бременем капиталовложений" (-4,3%).</w:t>
      </w:r>
    </w:p>
    <w:p w:rsidR="00655562" w:rsidRDefault="00655562" w:rsidP="00655562"/>
    <w:p w:rsidR="00655562" w:rsidRDefault="00655562" w:rsidP="00655562">
      <w:r>
        <w:t>Последние данные EPFR свидетельствуют о третьей неделе оттока средств из российских акций, большая часть из которых осуществляется из фондов ETF. Технически, аналитики связывают основные риски для рынка именно с последним обстоятельством. В 2011 г. приток сре</w:t>
      </w:r>
      <w:proofErr w:type="gramStart"/>
      <w:r>
        <w:t>дств в ф</w:t>
      </w:r>
      <w:proofErr w:type="gramEnd"/>
      <w:r>
        <w:t xml:space="preserve">онды, ассоциированные с Россией, начал смещаться в фонды ETF, по сути, инвестирующие в индекс. Т.о., налицо отсутствие в России интересных локальных историй, и предпочтение застраховаться от рисков снижения путем инвестирования в фонды ETF. </w:t>
      </w:r>
      <w:proofErr w:type="gramStart"/>
      <w:r>
        <w:t>Средства из этих фондов характеризуются более сильной мобильностью и могут быть выведены из рынка очень быстро.</w:t>
      </w:r>
      <w:proofErr w:type="gramEnd"/>
    </w:p>
    <w:p w:rsidR="00655562" w:rsidRDefault="00655562" w:rsidP="00655562"/>
    <w:p w:rsidR="00655562" w:rsidRDefault="00655562" w:rsidP="00655562">
      <w:r>
        <w:t xml:space="preserve">В конце прошлой неделе в Санкт-Петербурге состоялся II инвестиционный конгресс </w:t>
      </w:r>
      <w:proofErr w:type="spellStart"/>
      <w:r>
        <w:t>CBonds</w:t>
      </w:r>
      <w:proofErr w:type="spellEnd"/>
      <w:r>
        <w:t xml:space="preserve">, где участники рынка сошлись во мнении относительно 1) превалирования греческого риска в группе </w:t>
      </w:r>
      <w:r>
        <w:lastRenderedPageBreak/>
        <w:t xml:space="preserve">основных инвестиционных рисков в 2011 г., 2) отсутствия на рынке четких сигналов к инвестированию/выходу с рынка ввиду </w:t>
      </w:r>
      <w:proofErr w:type="gramStart"/>
      <w:r>
        <w:t>?т</w:t>
      </w:r>
      <w:proofErr w:type="gramEnd"/>
      <w:r>
        <w:t xml:space="preserve">ушения? их фактором денежной ликвидности, 3) усиления политических факторов на российском рынке, по мере приближения президентских выборов 2012 </w:t>
      </w:r>
      <w:proofErr w:type="gramStart"/>
      <w:r>
        <w:t>г</w:t>
      </w:r>
      <w:proofErr w:type="gramEnd"/>
      <w:r>
        <w:t>.</w:t>
      </w:r>
    </w:p>
    <w:p w:rsidR="00655562" w:rsidRDefault="00655562" w:rsidP="00655562"/>
    <w:p w:rsidR="00655562" w:rsidRDefault="00655562" w:rsidP="00655562">
      <w:r>
        <w:t>Т.о., ничего нового к тому, что мы прогнозировали ранее, добавить нечего. На текущей неделе мы ожидаем небольшого роста индексов, возможно, индекс РТС протестирует уровень 1900 пунктов. Наиболее вероятно, что по итогам июня будет зафиксирован положительный прирост, который, одновременно, выведет доходность портфелей акций в положительную зону по итогам полугодия. Однако</w:t>
      </w:r>
      <w:proofErr w:type="gramStart"/>
      <w:r>
        <w:t>,</w:t>
      </w:r>
      <w:proofErr w:type="gramEnd"/>
      <w:r>
        <w:t xml:space="preserve"> о возвращении к годовым максимумам речи не идет.</w:t>
      </w:r>
    </w:p>
    <w:p w:rsidR="00655562" w:rsidRDefault="00655562" w:rsidP="00655562"/>
    <w:p w:rsidR="00492E6D" w:rsidRDefault="00655562" w:rsidP="00655562">
      <w:r>
        <w:t xml:space="preserve">Сегодня биржи США закрыты, а резиденты в РФ уплачивают налог на прибыль, в </w:t>
      </w:r>
      <w:proofErr w:type="gramStart"/>
      <w:r>
        <w:t>связи</w:t>
      </w:r>
      <w:proofErr w:type="gramEnd"/>
      <w:r>
        <w:t xml:space="preserve"> с чем активность торгов невысока. </w:t>
      </w:r>
      <w:proofErr w:type="gramStart"/>
      <w:r>
        <w:t>На текущей неделе интересны данные по розничным продажам в Германии, промышленному производству в Японии, потребительской инфляции в Еврозоне, индексу цен на жилье и доверию потребителей в США (вторник), в середине недели выйдут данные по индексу цен на жилье в Великобритании, Прогноз ADP по занятости (США), индекс деловой активности в обрабатывающей промышленности США, в четверг Выходной день в банках Франции, Италии</w:t>
      </w:r>
      <w:proofErr w:type="gramEnd"/>
      <w:r>
        <w:t xml:space="preserve"> и Германии, активность на российском рынке снизится. В пятницу будет опубликован индекс деловой активности в непроизводственной сфере США.</w:t>
      </w:r>
    </w:p>
    <w:sectPr w:rsidR="00492E6D" w:rsidSect="00492E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5562"/>
    <w:rsid w:val="00492E6D"/>
    <w:rsid w:val="00655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E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3218</Characters>
  <Application>Microsoft Office Word</Application>
  <DocSecurity>0</DocSecurity>
  <Lines>26</Lines>
  <Paragraphs>7</Paragraphs>
  <ScaleCrop>false</ScaleCrop>
  <Company>Finam</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lgaynutdinova</dc:creator>
  <cp:keywords/>
  <dc:description/>
  <cp:lastModifiedBy>lgaynutdinova</cp:lastModifiedBy>
  <cp:revision>1</cp:revision>
  <dcterms:created xsi:type="dcterms:W3CDTF">2011-05-30T13:17:00Z</dcterms:created>
  <dcterms:modified xsi:type="dcterms:W3CDTF">2011-05-30T13:23:00Z</dcterms:modified>
</cp:coreProperties>
</file>