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A044AD" w:rsidRDefault="00A044AD" w:rsidP="00A044AD"/>
    <w:tbl>
      <w:tblPr>
        <w:tblW w:w="1051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530"/>
        <w:gridCol w:w="6"/>
      </w:tblGrid>
      <w:tr w:rsidR="00A044AD" w:rsidTr="00A0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4AD" w:rsidRDefault="00A044AD"/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30"/>
            </w:tblGrid>
            <w:tr w:rsidR="00A044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44AD" w:rsidRDefault="00A044A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6677025" cy="2447925"/>
                        <wp:effectExtent l="0" t="0" r="9525" b="9525"/>
                        <wp:docPr id="5" name="Рисунок 5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7025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44AD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"/>
                    <w:gridCol w:w="10115"/>
                    <w:gridCol w:w="6"/>
                  </w:tblGrid>
                  <w:tr w:rsidR="00A044AD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A044AD" w:rsidRDefault="00A044AD"/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A044AD" w:rsidRDefault="00A044A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A044AD" w:rsidRDefault="00A044A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044AD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A044AD" w:rsidRDefault="00A044A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A044AD" w:rsidRDefault="00A044AD"/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A044AD" w:rsidRDefault="00A044A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044AD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A044AD" w:rsidRDefault="00A044A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15"/>
                          <w:gridCol w:w="600"/>
                        </w:tblGrid>
                        <w:tr w:rsidR="00A044A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044AD" w:rsidRDefault="00A044A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A044AD" w:rsidRDefault="00A044AD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A044AD" w:rsidRDefault="00A044AD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0" t="0" r="9525" b="9525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6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044AD" w:rsidRDefault="00A044A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A044AD" w:rsidRDefault="00A044AD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</w:rPr>
                                <w:t> 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Глобальная коррекция на мировых рынках не обошла стороной российский рынок акций. Падение спроса на риск произошло на фоне возникновения еще одного очага геополитической напряженности, на этот раз в Йемене. Но так как мало кто может внятно объяснить, как проблемы в этой стране скажутся на глобальной экономике, рынки, похоже, просто искали повод для коррекции.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Но внешние факторы – далеко не единственная причина продаж на российском рынке: сильное укрепление рубля, прошедшее за последние пару месяцев при снижающихся ценах на нефть, также оказало ощутимое давление на котировки экспортеров, занимающих большую долю в структуре российского рынка акций.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Тем не менее внутренние истории на российском рынке также не пользуются спросом. Фактор ухудшения экономической конъюнктуры уже перешел из категории ожиданий в категорию фактических данных, и особенно хорошо это видно по данным потребительской активности населения и инвестициям. Укрепление рубля позитивно отразилось только на наиболее зависимых от курса компаниях, например М.Видео, но тут мы не видим фундаментального потенциала роста. 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lastRenderedPageBreak/>
                                <w:t xml:space="preserve">Пока сохраняется безыдейность на российском рынке акций, мы предпочитаем сокращать долю в рублевых активах и прикладываемся в бумаги развитых стран. Основные ставки – по-прежнему Европа и США, причем европейские ценные бумаги на фоне запуска стимулирующих программ выглядят более интересными. </w:t>
                              </w:r>
                            </w:p>
                            <w:p w:rsidR="00A044AD" w:rsidRDefault="00A044AD">
                              <w:pPr>
                                <w:pStyle w:val="a50"/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 </w:t>
                              </w:r>
                            </w:p>
                            <w:p w:rsidR="00A044AD" w:rsidRDefault="00A044AD">
                              <w:r>
                                <w:rPr>
                                  <w:color w:val="1F497D"/>
                                </w:rPr>
                                <w:t> </w:t>
                              </w:r>
                            </w:p>
                            <w:p w:rsidR="00A044AD" w:rsidRDefault="00A044A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A044AD" w:rsidRDefault="00A044AD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0" t="0" r="9525" b="9525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044AD" w:rsidRDefault="00A044A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Алексей Губин,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Рынок российских еврооблигаций продолжил расти, благодаря чему доходности по ряду старших выпусков достигли уровней лета – осени 2014 года, практически отыграв декабрьский обвал цен. Впрочем, инвесторы не теряют осторожности, в пятницу рост приостановился, а в ряде ценных бумаг прошла небольшая коррекция на фоне желания инвесторов зафиксировать прибыль после недавнего ралли.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На фоне чрезмерного (для текущих цен на нефть) укрепления рубля ЦБ РФ принял решение повысить ставки в долларах США при кредитовании под залог ценных бумаг с LIBOR+0,5% до LIBOR+1% годовых. Сама по себе эта мера пусть и приведет к удорожанию фондирования под залог российских евробондов, но это удорожание не будет значительным, то есть данное решение ЦБ вряд ли спровоцирует сколь-нибудь значимую коррекцию на российском долговом рынке. 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Здесь важно другое: ЦБ начал, пусть и очень осторожно, действовать против укрепления рубля. А это гораздо проще, чем его ослабление. Хотя бы потому, что это даст возможность нарастить золотовалютные резервы и улучшить ситуацию с рублевой ликвидностью.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Основным фактором риска для российского рынка остаются цены на нефть. Достигнутый прогресс на переговорах по иранской ядерной программе является потенциальным негативным фактором для нефтяных цен в случае, если со страны будут сняты санкции и Иран сможет осуществлять экспорт углеводородов. Первая реакция нефтяных цен на ход иранских переговоров – удешевление нефти Brent до 56 долл. по сравнению с 58 долл. в пятницу вечером.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В целом мы сохраняем умеренно-позитивный взгляд на российский рынок. Мы ждем стабилизацию цен на текущих уровнях, возможно, даже некоторую коррекцию, но не считаем, что она будет глубокой. Российский рынок все еще дешев, а снижение котировок на 1‒2% будет лишь означать хорошую возможность для входа / наращивания позиций в российских еврооблигациях.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На рынке рублевых бондов мы видим сохранение спроса на качественные корпоративные бумаги с доходностью 13–14% годовых и выше. Рынок живет в ожидании снижения ключевой ставки ЦБ РФ на следующем заседании, причем, как нам кажется, есть вероятность, что ЦБ РФ снизит ставку сразу на 2–2,5%. 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1F497D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36"/>
                                  <w:szCs w:val="36"/>
                                </w:rPr>
                              </w:pPr>
                            </w:p>
                            <w:p w:rsidR="00A044AD" w:rsidRDefault="00A044AD">
                              <w:pPr>
                                <w:pStyle w:val="a30"/>
                                <w:rPr>
                                  <w:rFonts w:ascii="Calibri" w:hAnsi="Calibri"/>
                                  <w:color w:val="1F497D"/>
                                  <w:sz w:val="36"/>
                                  <w:szCs w:val="36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A044AD" w:rsidRDefault="00A044AD">
                              <w:pPr>
                                <w:pStyle w:val="a30"/>
                              </w:pPr>
                            </w:p>
                            <w:p w:rsidR="00A044AD" w:rsidRDefault="00A044A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A044AD" w:rsidRDefault="00A044AD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23950" cy="1123950"/>
                                    <wp:effectExtent l="0" t="0" r="0" b="0"/>
                                    <wp:docPr id="2" name="Рисунок 2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3950" cy="1123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044AD" w:rsidRDefault="00A044A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A044AD" w:rsidRDefault="00A044AD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1F497D"/>
                                </w:rPr>
                                <w:t> </w:t>
                              </w:r>
                            </w:p>
                            <w:p w:rsidR="00A044AD" w:rsidRDefault="00A044A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  <w:spacing w:after="12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На прошедшей неделе нефтяной рынок получил долгожданный сигнал потенциального снижения предложения нефти в виде начала военной операции в Йемене. Страна на рынке не является крупным игроком, входит в Топ-50 стран по добыче нефти, то есть ожидать сокращения поставок не стоит. С другой стороны, многие опасаются, что боевые действия могут привести к перекрытию пролива в Красное море, что чревато срывом поставок нефти с Ближнего Востока.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  <w:spacing w:after="12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Данные события привели к сужению спреда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WTI</w:t>
                              </w:r>
                              <w:r w:rsidRPr="00A044A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до 6 долл., но на нефть марки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WTI</w:t>
                              </w:r>
                              <w:r w:rsidRPr="00A044A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продолжают оказывать давление данные по запасам, которые за неделю выросли более чем на 8 млн баррелей, при прогнозе роста на 5,1 млн баррелей. А нефть марки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 w:rsidRPr="00A044A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может получить стимулы к росту на фоне положительной макроэкономической статистики по Европе. Данные факторы могут привести к росту спреда между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Brent</w:t>
                              </w:r>
                              <w:r w:rsidRPr="00A044A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и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WTI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  <w:spacing w:after="12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Драгоценные металлы продолжили рост на прошедшей неделе, поддержку металлы получают от заявлений ФРС США об откладывании повышения процентных ставок. Данный фактор привел к коррекции в долларе. Тем более золото на прошедшей неделе выросло сильнее, чем более волатильное серебро: 1,4% против 1,2% соответственно. 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  <w:spacing w:after="120"/>
                              </w:pPr>
                            </w:p>
                            <w:p w:rsidR="00A044AD" w:rsidRDefault="00A044AD">
                              <w:pPr>
                                <w:pStyle w:val="a50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Прогноз сырьевых рынков 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  <w:t>Нефть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  <w:spacing w:before="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На текущих уровнях цены на нефть имеют больше шансов на рост, чем на падение на горизонте нескольких месяцев. Хотя спрос остается слабым, а ОПЕК не собирается сокращать добычу, низкие цены уже приводят к сокращению инвестиций в разведку и бурение, а также вызывают финансовые проблемы у нефтяных компаний в США и других развитых странах, где девальвация валюты оказалась несопоставима со снижением цен на нефть. При этом о восстановлении до 90–100 долл. за баррель речи пока не идет. Текущий взгляд – средняя цена в районе 55–60 долл. за баррель в 2015 году.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  <w:t>Драгоценные металлы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  <w:spacing w:before="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На рынке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золота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, а также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серебра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ситуация выглядит неоднозначно. С одной стороны, пока не наблюдается притока новых игроков, с другой – запуск программы количественного смягчения от ЕЦБ, а также геополитические риски будут способствовать росту цен драгоценных металлов.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  <w:t>Промышленные металлы</w:t>
                              </w:r>
                            </w:p>
                            <w:p w:rsidR="00A044AD" w:rsidRDefault="00A044AD">
                              <w:pPr>
                                <w:pStyle w:val="a30"/>
                                <w:spacing w:before="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Цены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промышленных металлов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имеют шансы на рост в том случае, если снижение цен на нефть приведет к оживлению мировой экономики. С другой стороны, этот рост будет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lastRenderedPageBreak/>
                                <w:t xml:space="preserve">ограниченным, так как ослабление валют стран, являющихся крупнейшими производителями металлов, а также снижение издержек из-за падения цен на нефть создают условия для ценовой войны. </w:t>
                              </w:r>
                            </w:p>
                            <w:p w:rsidR="00A044AD" w:rsidRDefault="00A044AD" w:rsidP="00A044AD">
                              <w:pPr>
                                <w:pStyle w:val="a30"/>
                              </w:pP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A044AD" w:rsidRDefault="00A044AD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A044AD" w:rsidRDefault="00A044A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A044AD" w:rsidRDefault="00A044AD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044AD" w:rsidRDefault="00A044A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  <w:lang w:eastAsia="ru-RU"/>
                    </w:rPr>
                    <w:lastRenderedPageBreak/>
                    <w:drawing>
                      <wp:inline distT="0" distB="0" distL="0" distR="0">
                        <wp:extent cx="6667500" cy="762000"/>
                        <wp:effectExtent l="0" t="0" r="0" b="0"/>
                        <wp:docPr id="1" name="Рисунок 1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44AD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44AD" w:rsidRDefault="00A044AD"/>
              </w:tc>
            </w:tr>
            <w:tr w:rsidR="00A044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44AD" w:rsidRDefault="00A044A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044AD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44AD" w:rsidRDefault="00A044A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044AD" w:rsidRDefault="00A044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044AD" w:rsidRDefault="00A044A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C52C8" w:rsidRPr="00930623" w:rsidRDefault="00A86893" w:rsidP="00CA72DD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 </w:t>
      </w:r>
    </w:p>
    <w:sectPr w:rsidR="007C52C8" w:rsidRPr="00930623" w:rsidSect="00A044AD">
      <w:footerReference w:type="default" r:id="rId1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82F" w:rsidRDefault="00E1782F" w:rsidP="00EF2DCA">
      <w:pPr>
        <w:spacing w:after="0" w:line="240" w:lineRule="auto"/>
      </w:pPr>
      <w:r>
        <w:separator/>
      </w:r>
    </w:p>
  </w:endnote>
  <w:endnote w:type="continuationSeparator" w:id="0">
    <w:p w:rsidR="00E1782F" w:rsidRDefault="00E1782F" w:rsidP="00EF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219794"/>
      <w:docPartObj>
        <w:docPartGallery w:val="Page Numbers (Bottom of Page)"/>
        <w:docPartUnique/>
      </w:docPartObj>
    </w:sdtPr>
    <w:sdtContent>
      <w:p w:rsidR="00A044AD" w:rsidRDefault="00A044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44AD" w:rsidRDefault="00A044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82F" w:rsidRDefault="00E1782F" w:rsidP="00EF2DCA">
      <w:pPr>
        <w:spacing w:after="0" w:line="240" w:lineRule="auto"/>
      </w:pPr>
      <w:r>
        <w:separator/>
      </w:r>
    </w:p>
  </w:footnote>
  <w:footnote w:type="continuationSeparator" w:id="0">
    <w:p w:rsidR="00E1782F" w:rsidRDefault="00E1782F" w:rsidP="00EF2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EA"/>
    <w:rsid w:val="00002F8F"/>
    <w:rsid w:val="00032B3F"/>
    <w:rsid w:val="000D0F4A"/>
    <w:rsid w:val="000E2167"/>
    <w:rsid w:val="0015332A"/>
    <w:rsid w:val="0019498D"/>
    <w:rsid w:val="001C7DE2"/>
    <w:rsid w:val="003737FA"/>
    <w:rsid w:val="003C56FA"/>
    <w:rsid w:val="004A676A"/>
    <w:rsid w:val="004E42EF"/>
    <w:rsid w:val="004F7632"/>
    <w:rsid w:val="0051704B"/>
    <w:rsid w:val="00562130"/>
    <w:rsid w:val="006530A8"/>
    <w:rsid w:val="006A3465"/>
    <w:rsid w:val="006C33E4"/>
    <w:rsid w:val="007A32A7"/>
    <w:rsid w:val="007B5126"/>
    <w:rsid w:val="007C020D"/>
    <w:rsid w:val="007C52C8"/>
    <w:rsid w:val="007F55E6"/>
    <w:rsid w:val="00930623"/>
    <w:rsid w:val="00982E92"/>
    <w:rsid w:val="00A044AD"/>
    <w:rsid w:val="00A86893"/>
    <w:rsid w:val="00AD7685"/>
    <w:rsid w:val="00B31DB5"/>
    <w:rsid w:val="00BD23DE"/>
    <w:rsid w:val="00CA72DD"/>
    <w:rsid w:val="00D047FD"/>
    <w:rsid w:val="00D05F5F"/>
    <w:rsid w:val="00D13308"/>
    <w:rsid w:val="00D44F91"/>
    <w:rsid w:val="00DA68EA"/>
    <w:rsid w:val="00E1044E"/>
    <w:rsid w:val="00E12C62"/>
    <w:rsid w:val="00E1782F"/>
    <w:rsid w:val="00E85496"/>
    <w:rsid w:val="00E925E1"/>
    <w:rsid w:val="00EF2DCA"/>
    <w:rsid w:val="00EF6BBA"/>
    <w:rsid w:val="00F95D37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4F8F-2ECC-4851-AD30-ED62079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DCA"/>
  </w:style>
  <w:style w:type="paragraph" w:styleId="a5">
    <w:name w:val="footer"/>
    <w:basedOn w:val="a"/>
    <w:link w:val="a6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DCA"/>
  </w:style>
  <w:style w:type="paragraph" w:styleId="a7">
    <w:name w:val="Plain Text"/>
    <w:basedOn w:val="a"/>
    <w:link w:val="a8"/>
    <w:uiPriority w:val="99"/>
    <w:semiHidden/>
    <w:unhideWhenUsed/>
    <w:rsid w:val="00EF2DCA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EF2DCA"/>
    <w:rPr>
      <w:rFonts w:ascii="Calibri" w:hAnsi="Calibri"/>
      <w:szCs w:val="21"/>
    </w:rPr>
  </w:style>
  <w:style w:type="character" w:styleId="a9">
    <w:name w:val="Hyperlink"/>
    <w:basedOn w:val="a0"/>
    <w:uiPriority w:val="99"/>
    <w:unhideWhenUsed/>
    <w:rsid w:val="00EF6BBA"/>
    <w:rPr>
      <w:color w:val="5F5F5F" w:themeColor="hyperlink"/>
      <w:u w:val="single"/>
    </w:rPr>
  </w:style>
  <w:style w:type="paragraph" w:customStyle="1" w:styleId="a30">
    <w:name w:val="a3"/>
    <w:basedOn w:val="a"/>
    <w:rsid w:val="00A044AD"/>
    <w:pPr>
      <w:spacing w:before="80" w:after="0" w:line="240" w:lineRule="auto"/>
      <w:jc w:val="both"/>
    </w:pPr>
    <w:rPr>
      <w:rFonts w:ascii="Arial Narrow" w:hAnsi="Arial Narrow" w:cs="Times New Roman"/>
      <w:sz w:val="16"/>
      <w:szCs w:val="16"/>
      <w:lang w:eastAsia="ru-RU"/>
    </w:rPr>
  </w:style>
  <w:style w:type="paragraph" w:customStyle="1" w:styleId="a50">
    <w:name w:val="a5"/>
    <w:basedOn w:val="a"/>
    <w:rsid w:val="00A044AD"/>
    <w:pPr>
      <w:spacing w:after="0" w:line="240" w:lineRule="auto"/>
    </w:pPr>
    <w:rPr>
      <w:rFonts w:ascii="Arial" w:hAnsi="Arial" w:cs="Arial"/>
      <w:b/>
      <w:bCs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4.jpg@01D049FF.173DAB3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jpg@01D049FF.173DAB30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3.jpg@01D049FF.173DAB30" TargetMode="External"/><Relationship Id="rId5" Type="http://schemas.openxmlformats.org/officeDocument/2006/relationships/endnotes" Target="endnotes.xml"/><Relationship Id="rId15" Type="http://schemas.openxmlformats.org/officeDocument/2006/relationships/image" Target="cid:image005.gif@01D049FF.173DAB30" TargetMode="Externa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cid:image002.jpg@01D049FF.173DAB30" TargetMode="External"/><Relationship Id="rId14" Type="http://schemas.openxmlformats.org/officeDocument/2006/relationships/image" Target="media/image5.gi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Натуральные материалы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Натуральные материалы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Финам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2</cp:revision>
  <dcterms:created xsi:type="dcterms:W3CDTF">2015-03-30T12:54:00Z</dcterms:created>
  <dcterms:modified xsi:type="dcterms:W3CDTF">2015-03-30T12:54:00Z</dcterms:modified>
</cp:coreProperties>
</file>