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1A" w:rsidRDefault="00300F1A" w:rsidP="00300F1A">
      <w:pPr>
        <w:spacing w:after="20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Норд-Капитал: </w:t>
      </w:r>
      <w:r>
        <w:rPr>
          <w:rFonts w:ascii="Calibri" w:hAnsi="Calibri"/>
        </w:rPr>
        <w:t>«Глубина рынка» остаётся ограниченной и хорошими объемами отличаются лишь российские «голубые фишки»</w:t>
      </w:r>
    </w:p>
    <w:p w:rsidR="00300F1A" w:rsidRPr="00300F1A" w:rsidRDefault="00300F1A" w:rsidP="00300F1A">
      <w:pPr>
        <w:spacing w:after="200"/>
        <w:jc w:val="both"/>
        <w:rPr>
          <w:rFonts w:ascii="Calibri" w:hAnsi="Calibri"/>
          <w:b/>
          <w:bCs/>
        </w:rPr>
      </w:pPr>
      <w:r w:rsidRPr="00300F1A">
        <w:rPr>
          <w:rFonts w:ascii="Calibri" w:hAnsi="Calibri"/>
          <w:b/>
          <w:bCs/>
        </w:rPr>
        <w:t>По глобальным рынкам:</w:t>
      </w:r>
    </w:p>
    <w:p w:rsidR="00300F1A" w:rsidRPr="00300F1A" w:rsidRDefault="00300F1A" w:rsidP="00300F1A">
      <w:pPr>
        <w:spacing w:after="200"/>
        <w:jc w:val="both"/>
      </w:pPr>
      <w:r w:rsidRPr="00300F1A">
        <w:rPr>
          <w:rFonts w:ascii="Calibri" w:hAnsi="Calibri"/>
        </w:rPr>
        <w:t xml:space="preserve">Одна из лучших недель за последние полгода на всех рынках. Идеальная ситуация для стратегий </w:t>
      </w:r>
      <w:proofErr w:type="spellStart"/>
      <w:r w:rsidRPr="00300F1A">
        <w:rPr>
          <w:rFonts w:ascii="Calibri" w:hAnsi="Calibri"/>
        </w:rPr>
        <w:t>бай-энд-холд</w:t>
      </w:r>
      <w:proofErr w:type="spellEnd"/>
      <w:r w:rsidRPr="00300F1A">
        <w:rPr>
          <w:rFonts w:ascii="Calibri" w:hAnsi="Calibri"/>
        </w:rPr>
        <w:t>: растут все фондовые рынки и достаточно динамично.</w:t>
      </w:r>
    </w:p>
    <w:p w:rsidR="00300F1A" w:rsidRPr="00300F1A" w:rsidRDefault="00300F1A" w:rsidP="00300F1A">
      <w:pPr>
        <w:spacing w:after="200"/>
        <w:jc w:val="both"/>
      </w:pPr>
      <w:r w:rsidRPr="00300F1A">
        <w:rPr>
          <w:rFonts w:ascii="Calibri" w:hAnsi="Calibri"/>
        </w:rPr>
        <w:t xml:space="preserve">Рынки развивающихся стран и Западной Европы все еще выглядят на фоне такой динамики </w:t>
      </w:r>
      <w:proofErr w:type="spellStart"/>
      <w:r w:rsidRPr="00300F1A">
        <w:rPr>
          <w:rFonts w:ascii="Calibri" w:hAnsi="Calibri"/>
        </w:rPr>
        <w:t>недокупленными</w:t>
      </w:r>
      <w:proofErr w:type="spellEnd"/>
      <w:r w:rsidRPr="00300F1A">
        <w:rPr>
          <w:rFonts w:ascii="Calibri" w:hAnsi="Calibri"/>
        </w:rPr>
        <w:t>, сохраняя достаточно высокий потенциал роста.</w:t>
      </w:r>
    </w:p>
    <w:p w:rsidR="00300F1A" w:rsidRPr="00300F1A" w:rsidRDefault="00300F1A" w:rsidP="00300F1A">
      <w:pPr>
        <w:spacing w:after="200"/>
        <w:jc w:val="both"/>
      </w:pPr>
      <w:r w:rsidRPr="00300F1A">
        <w:rPr>
          <w:rFonts w:ascii="Calibri" w:hAnsi="Calibri"/>
          <w:b/>
          <w:bCs/>
        </w:rPr>
        <w:t>По развивающимся рынкам:</w:t>
      </w:r>
    </w:p>
    <w:p w:rsidR="00300F1A" w:rsidRPr="00300F1A" w:rsidRDefault="00300F1A" w:rsidP="00300F1A">
      <w:pPr>
        <w:spacing w:after="200"/>
        <w:jc w:val="both"/>
      </w:pPr>
      <w:r w:rsidRPr="00300F1A">
        <w:rPr>
          <w:rFonts w:ascii="Calibri" w:hAnsi="Calibri"/>
        </w:rPr>
        <w:t xml:space="preserve">На развивающихся рынках на прошедшей неделе доминировал умеренный позитив. Уверенней других чувствовал себя рынок Индии (+2.4% по индексу </w:t>
      </w:r>
      <w:r w:rsidRPr="00300F1A">
        <w:rPr>
          <w:rFonts w:ascii="Calibri" w:hAnsi="Calibri"/>
          <w:lang w:val="en-US"/>
        </w:rPr>
        <w:t>BSE</w:t>
      </w:r>
      <w:r w:rsidRPr="00300F1A">
        <w:rPr>
          <w:rFonts w:ascii="Calibri" w:hAnsi="Calibri"/>
        </w:rPr>
        <w:t xml:space="preserve">), бразильский рынок прибавил 1.3%, южнокорейский 0.7%. Индекс </w:t>
      </w:r>
      <w:r w:rsidRPr="00300F1A">
        <w:rPr>
          <w:rFonts w:ascii="Calibri" w:hAnsi="Calibri"/>
          <w:lang w:val="en-US"/>
        </w:rPr>
        <w:t>MSCI</w:t>
      </w:r>
      <w:r w:rsidRPr="00300F1A">
        <w:rPr>
          <w:rFonts w:ascii="Calibri" w:hAnsi="Calibri"/>
        </w:rPr>
        <w:t xml:space="preserve"> </w:t>
      </w:r>
      <w:r w:rsidRPr="00300F1A">
        <w:rPr>
          <w:rFonts w:ascii="Calibri" w:hAnsi="Calibri"/>
          <w:lang w:val="en-US"/>
        </w:rPr>
        <w:t>EM</w:t>
      </w:r>
      <w:r w:rsidRPr="00300F1A">
        <w:rPr>
          <w:rFonts w:ascii="Calibri" w:hAnsi="Calibri"/>
        </w:rPr>
        <w:t xml:space="preserve"> вырос за неделю на 1.9%. Фондовый рынок континентального Китая был всю неделю закрыт, но китайские акции умеренно подрастали на торгах в Нью-Йорке и Гонконге. </w:t>
      </w:r>
    </w:p>
    <w:p w:rsidR="00300F1A" w:rsidRPr="00300F1A" w:rsidRDefault="00300F1A" w:rsidP="00300F1A">
      <w:pPr>
        <w:spacing w:after="200"/>
        <w:jc w:val="both"/>
      </w:pPr>
      <w:r w:rsidRPr="00300F1A">
        <w:rPr>
          <w:rFonts w:ascii="Calibri" w:hAnsi="Calibri"/>
        </w:rPr>
        <w:t xml:space="preserve">Аналитики связывают позитив на развивающихся </w:t>
      </w:r>
      <w:proofErr w:type="gramStart"/>
      <w:r w:rsidRPr="00300F1A">
        <w:rPr>
          <w:rFonts w:ascii="Calibri" w:hAnsi="Calibri"/>
        </w:rPr>
        <w:t>рынках</w:t>
      </w:r>
      <w:proofErr w:type="gramEnd"/>
      <w:r w:rsidRPr="00300F1A">
        <w:rPr>
          <w:rFonts w:ascii="Calibri" w:hAnsi="Calibri"/>
        </w:rPr>
        <w:t xml:space="preserve"> прежде всего с заявлениями ФРС США о сохранении низких ставок минимум до 2014 года. Большинство валют развивающихся стран также продемонстрировали рост против доллара США за неделю.</w:t>
      </w:r>
    </w:p>
    <w:p w:rsidR="00300F1A" w:rsidRPr="00300F1A" w:rsidRDefault="00300F1A" w:rsidP="00300F1A">
      <w:pPr>
        <w:spacing w:after="200"/>
        <w:jc w:val="both"/>
      </w:pPr>
      <w:r w:rsidRPr="00300F1A">
        <w:rPr>
          <w:rFonts w:ascii="Calibri" w:hAnsi="Calibri"/>
          <w:b/>
          <w:bCs/>
        </w:rPr>
        <w:t>По сырью:</w:t>
      </w:r>
    </w:p>
    <w:p w:rsidR="00300F1A" w:rsidRPr="00300F1A" w:rsidRDefault="00300F1A" w:rsidP="00300F1A">
      <w:pPr>
        <w:spacing w:after="200"/>
        <w:jc w:val="both"/>
      </w:pPr>
      <w:r w:rsidRPr="00300F1A">
        <w:rPr>
          <w:rFonts w:ascii="Calibri" w:hAnsi="Calibri"/>
        </w:rPr>
        <w:t>Нефтяные цены продолжают оставаться в границах горизонтального коридора (</w:t>
      </w:r>
      <w:proofErr w:type="spellStart"/>
      <w:r w:rsidRPr="00300F1A">
        <w:rPr>
          <w:rFonts w:ascii="Calibri" w:hAnsi="Calibri"/>
        </w:rPr>
        <w:t>Brent</w:t>
      </w:r>
      <w:proofErr w:type="spellEnd"/>
      <w:r w:rsidRPr="00300F1A">
        <w:rPr>
          <w:rFonts w:ascii="Calibri" w:hAnsi="Calibri"/>
        </w:rPr>
        <w:t xml:space="preserve"> 100-115). Цветные металлы с высокой корреляцией повторяют динамику фондовых площадок. На этом фоне неожиданно сильно проявил</w:t>
      </w:r>
      <w:r>
        <w:rPr>
          <w:rFonts w:ascii="Calibri" w:hAnsi="Calibri"/>
        </w:rPr>
        <w:t>о себя золото, резко выросшее</w:t>
      </w:r>
      <w:r w:rsidRPr="00300F1A">
        <w:rPr>
          <w:rFonts w:ascii="Calibri" w:hAnsi="Calibri"/>
        </w:rPr>
        <w:t xml:space="preserve"> с 1650 до 1730 на отскоке курса евро от минимумов в 1.26 еще раз подтверждая уникальность прошедшей недели. </w:t>
      </w:r>
    </w:p>
    <w:p w:rsidR="00300F1A" w:rsidRPr="00300F1A" w:rsidRDefault="00300F1A" w:rsidP="00300F1A">
      <w:pPr>
        <w:spacing w:after="200"/>
        <w:jc w:val="both"/>
      </w:pPr>
      <w:r w:rsidRPr="00300F1A">
        <w:rPr>
          <w:rFonts w:ascii="Calibri" w:hAnsi="Calibri"/>
          <w:b/>
          <w:bCs/>
        </w:rPr>
        <w:t>По акциям:</w:t>
      </w:r>
    </w:p>
    <w:p w:rsidR="00300F1A" w:rsidRPr="00300F1A" w:rsidRDefault="00300F1A" w:rsidP="00300F1A">
      <w:pPr>
        <w:spacing w:after="200"/>
        <w:jc w:val="both"/>
      </w:pPr>
      <w:r w:rsidRPr="00300F1A">
        <w:rPr>
          <w:rFonts w:ascii="Calibri" w:hAnsi="Calibri"/>
        </w:rPr>
        <w:t xml:space="preserve">Российский рынок набирает обороты, вопреки всем прогнозам о краткосрочности текущего тренда. Согласно данным EPFR, приток средств на развивающиеся рынки на позапрошлой неделе составил скромную цифру $172 </w:t>
      </w:r>
      <w:proofErr w:type="spellStart"/>
      <w:proofErr w:type="gramStart"/>
      <w:r w:rsidRPr="00300F1A">
        <w:rPr>
          <w:rFonts w:ascii="Calibri" w:hAnsi="Calibri"/>
        </w:rPr>
        <w:t>млн</w:t>
      </w:r>
      <w:proofErr w:type="spellEnd"/>
      <w:proofErr w:type="gramEnd"/>
      <w:r w:rsidRPr="00300F1A">
        <w:rPr>
          <w:rFonts w:ascii="Calibri" w:hAnsi="Calibri"/>
        </w:rPr>
        <w:t>, но уже на прошлой неделе практически удвоился. На этом фоне «глубина рынка» остаётся ограниченной, и хорошими объемами, как всегда отличаются лишь российские «голубые фишки», причём почти половину его «оттягивает на себя» Сбербанк.</w:t>
      </w:r>
    </w:p>
    <w:p w:rsidR="00300F1A" w:rsidRPr="00300F1A" w:rsidRDefault="00300F1A" w:rsidP="00300F1A">
      <w:pPr>
        <w:spacing w:after="200"/>
        <w:jc w:val="both"/>
      </w:pPr>
      <w:r w:rsidRPr="00300F1A">
        <w:rPr>
          <w:rFonts w:ascii="Calibri" w:hAnsi="Calibri"/>
        </w:rPr>
        <w:t>Несмотря на значительный рост акций Газпрома, многие эксперты считают, что эта бумага будет по-прежнему показывать динамику лучше рынка.</w:t>
      </w:r>
    </w:p>
    <w:p w:rsidR="00300F1A" w:rsidRPr="00300F1A" w:rsidRDefault="00300F1A" w:rsidP="00300F1A">
      <w:pPr>
        <w:spacing w:after="200"/>
        <w:jc w:val="both"/>
      </w:pPr>
      <w:r w:rsidRPr="00300F1A">
        <w:rPr>
          <w:rFonts w:ascii="Calibri" w:hAnsi="Calibri"/>
        </w:rPr>
        <w:t xml:space="preserve">Потенциально интересная история может развиться в акциях </w:t>
      </w:r>
      <w:proofErr w:type="spellStart"/>
      <w:r w:rsidRPr="00300F1A">
        <w:rPr>
          <w:rFonts w:ascii="Calibri" w:hAnsi="Calibri"/>
        </w:rPr>
        <w:t>Ростелекома</w:t>
      </w:r>
      <w:proofErr w:type="spellEnd"/>
      <w:r w:rsidRPr="00300F1A">
        <w:rPr>
          <w:rFonts w:ascii="Calibri" w:hAnsi="Calibri"/>
        </w:rPr>
        <w:t xml:space="preserve">, который был объявлен бенефициаром размещения и трансляции с </w:t>
      </w:r>
      <w:proofErr w:type="spellStart"/>
      <w:r w:rsidRPr="00300F1A">
        <w:rPr>
          <w:rFonts w:ascii="Calibri" w:hAnsi="Calibri"/>
        </w:rPr>
        <w:t>Веб-камер</w:t>
      </w:r>
      <w:proofErr w:type="spellEnd"/>
      <w:r w:rsidRPr="00300F1A">
        <w:rPr>
          <w:rFonts w:ascii="Calibri" w:hAnsi="Calibri"/>
        </w:rPr>
        <w:t xml:space="preserve"> на 91,4 тысячах избирательных участков, на цели чего из бюджета будет выделено 13 млрд</w:t>
      </w:r>
      <w:r>
        <w:rPr>
          <w:rFonts w:ascii="Calibri" w:hAnsi="Calibri"/>
        </w:rPr>
        <w:t>.</w:t>
      </w:r>
      <w:r w:rsidRPr="00300F1A">
        <w:rPr>
          <w:rFonts w:ascii="Calibri" w:hAnsi="Calibri"/>
        </w:rPr>
        <w:t xml:space="preserve"> рублей. Динамику лучше рынка могут продемонстрировать и акции </w:t>
      </w:r>
      <w:proofErr w:type="spellStart"/>
      <w:r w:rsidRPr="00300F1A">
        <w:rPr>
          <w:rFonts w:ascii="Calibri" w:hAnsi="Calibri"/>
        </w:rPr>
        <w:t>Уралкалия</w:t>
      </w:r>
      <w:proofErr w:type="spellEnd"/>
      <w:r w:rsidRPr="00300F1A">
        <w:rPr>
          <w:rFonts w:ascii="Calibri" w:hAnsi="Calibri"/>
        </w:rPr>
        <w:t xml:space="preserve"> на новостях о повышении экспортных цен на поташ, несмотря на то, что </w:t>
      </w:r>
      <w:proofErr w:type="gramStart"/>
      <w:r w:rsidRPr="00300F1A">
        <w:rPr>
          <w:rFonts w:ascii="Calibri" w:hAnsi="Calibri"/>
        </w:rPr>
        <w:t>последующая</w:t>
      </w:r>
      <w:proofErr w:type="gramEnd"/>
      <w:r w:rsidRPr="00300F1A">
        <w:rPr>
          <w:rFonts w:ascii="Calibri" w:hAnsi="Calibri"/>
        </w:rPr>
        <w:t xml:space="preserve"> </w:t>
      </w:r>
      <w:proofErr w:type="spellStart"/>
      <w:r w:rsidRPr="00300F1A">
        <w:rPr>
          <w:rFonts w:ascii="Calibri" w:hAnsi="Calibri"/>
        </w:rPr>
        <w:t>финотчётность</w:t>
      </w:r>
      <w:proofErr w:type="spellEnd"/>
      <w:r w:rsidRPr="00300F1A">
        <w:rPr>
          <w:rFonts w:ascii="Calibri" w:hAnsi="Calibri"/>
        </w:rPr>
        <w:t xml:space="preserve"> может вскрыть пропорциональное снижение объёмов отгрузки.</w:t>
      </w:r>
    </w:p>
    <w:p w:rsidR="00300F1A" w:rsidRPr="00300F1A" w:rsidRDefault="00300F1A" w:rsidP="00300F1A">
      <w:pPr>
        <w:spacing w:after="200"/>
        <w:jc w:val="both"/>
        <w:rPr>
          <w:rFonts w:ascii="Calibri" w:hAnsi="Calibri"/>
          <w:b/>
          <w:bCs/>
        </w:rPr>
      </w:pPr>
      <w:r w:rsidRPr="00300F1A">
        <w:rPr>
          <w:rFonts w:ascii="Calibri" w:hAnsi="Calibri"/>
          <w:b/>
          <w:bCs/>
        </w:rPr>
        <w:t xml:space="preserve">По бондам: </w:t>
      </w:r>
    </w:p>
    <w:p w:rsidR="00300F1A" w:rsidRPr="00300F1A" w:rsidRDefault="00300F1A" w:rsidP="00300F1A">
      <w:pPr>
        <w:spacing w:after="200"/>
        <w:jc w:val="both"/>
        <w:rPr>
          <w:rFonts w:ascii="Calibri" w:hAnsi="Calibri"/>
          <w:b/>
          <w:bCs/>
        </w:rPr>
      </w:pPr>
      <w:r w:rsidRPr="00300F1A">
        <w:rPr>
          <w:rFonts w:ascii="Calibri" w:hAnsi="Calibri"/>
        </w:rPr>
        <w:t xml:space="preserve">Налоговые платежи в этом месяце закончились 20 января (уплата 1/3 суммы НДС за IV квартал 2011 г., уплата налога на игорный бизнес за декабрь 2011 г.). Тем не менее, после </w:t>
      </w:r>
      <w:r w:rsidRPr="00300F1A">
        <w:rPr>
          <w:rFonts w:ascii="Calibri" w:hAnsi="Calibri"/>
        </w:rPr>
        <w:lastRenderedPageBreak/>
        <w:t xml:space="preserve">20 января не было ни одного дня, когда бы ни выросли ставки </w:t>
      </w:r>
      <w:r w:rsidRPr="00300F1A">
        <w:rPr>
          <w:rFonts w:ascii="Calibri" w:hAnsi="Calibri"/>
          <w:lang w:val="en-US"/>
        </w:rPr>
        <w:t>O</w:t>
      </w:r>
      <w:r w:rsidRPr="00300F1A">
        <w:rPr>
          <w:rFonts w:ascii="Calibri" w:hAnsi="Calibri"/>
        </w:rPr>
        <w:t>/</w:t>
      </w:r>
      <w:r w:rsidRPr="00300F1A">
        <w:rPr>
          <w:rFonts w:ascii="Calibri" w:hAnsi="Calibri"/>
          <w:lang w:val="en-US"/>
        </w:rPr>
        <w:t>N</w:t>
      </w:r>
      <w:r w:rsidRPr="00300F1A">
        <w:rPr>
          <w:rFonts w:ascii="Calibri" w:hAnsi="Calibri"/>
        </w:rPr>
        <w:t xml:space="preserve"> на МБК, продолжили они рост и на аукционах РЕПО ЦБ РФ. Основной причиной ухудшения ситуации с рублевой ликвидностью – это снижение лимитов по РЕПО ЦБ РФ по сравнению с прошлым месяцем. Общая сумма лимитов за декабрь 2011 г.: 6 630 млрд</w:t>
      </w:r>
      <w:r>
        <w:rPr>
          <w:rFonts w:ascii="Calibri" w:hAnsi="Calibri"/>
        </w:rPr>
        <w:t>.</w:t>
      </w:r>
      <w:r w:rsidRPr="00300F1A">
        <w:rPr>
          <w:rFonts w:ascii="Calibri" w:hAnsi="Calibri"/>
        </w:rPr>
        <w:t xml:space="preserve"> руб. Общая сумма открытых лимитов ЦБ РФ по РЕПО с банками с начала января: 900 млрд</w:t>
      </w:r>
      <w:r>
        <w:rPr>
          <w:rFonts w:ascii="Calibri" w:hAnsi="Calibri"/>
        </w:rPr>
        <w:t>.</w:t>
      </w:r>
      <w:r w:rsidRPr="00300F1A">
        <w:rPr>
          <w:rFonts w:ascii="Calibri" w:hAnsi="Calibri"/>
        </w:rPr>
        <w:t xml:space="preserve"> рублей. По итогам января ЦБ РФ предоставит банкам в 6 раз меньше средств, чем в прошлом месяце. </w:t>
      </w:r>
      <w:proofErr w:type="gramStart"/>
      <w:r w:rsidRPr="00300F1A">
        <w:rPr>
          <w:rFonts w:ascii="Calibri" w:hAnsi="Calibri"/>
        </w:rPr>
        <w:t>При этом остатки на корсчетах с 20.01.2011 по 26.01.2011 снизились с 864.5 до 659.4 млрд</w:t>
      </w:r>
      <w:r>
        <w:rPr>
          <w:rFonts w:ascii="Calibri" w:hAnsi="Calibri"/>
        </w:rPr>
        <w:t>.</w:t>
      </w:r>
      <w:r w:rsidRPr="00300F1A">
        <w:rPr>
          <w:rFonts w:ascii="Calibri" w:hAnsi="Calibri"/>
        </w:rPr>
        <w:t xml:space="preserve"> рублей, поэтому о каком-то притоке средств из вне, который мог бы компенсировать дефицит рублевой ликвидности пока не наблюдается.</w:t>
      </w:r>
      <w:proofErr w:type="gramEnd"/>
      <w:r w:rsidRPr="00300F1A">
        <w:rPr>
          <w:rFonts w:ascii="Calibri" w:hAnsi="Calibri"/>
        </w:rPr>
        <w:t xml:space="preserve"> В то же время, после существенного укрепления рубля Банк России в ближайшее время может увеличить объемы рефинансирования, что улучшит ситуацию с ликвидностью, но вместе с тем может негативно сказаться на курсе рубля.</w:t>
      </w:r>
    </w:p>
    <w:sectPr w:rsidR="00300F1A" w:rsidRPr="00300F1A" w:rsidSect="00A0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F44B2"/>
    <w:multiLevelType w:val="hybridMultilevel"/>
    <w:tmpl w:val="47CA6AA0"/>
    <w:lvl w:ilvl="0" w:tplc="C396F4D2">
      <w:start w:val="1"/>
      <w:numFmt w:val="bullet"/>
      <w:lvlText w:val=""/>
      <w:lvlJc w:val="left"/>
      <w:pPr>
        <w:ind w:left="1211" w:hanging="360"/>
      </w:pPr>
      <w:rPr>
        <w:rFonts w:ascii="Wingdings" w:eastAsia="Times New Roman" w:hAnsi="Wingdings" w:cs="Aria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F4EC8"/>
    <w:rsid w:val="00047B4B"/>
    <w:rsid w:val="00062C82"/>
    <w:rsid w:val="0015510E"/>
    <w:rsid w:val="00223C4D"/>
    <w:rsid w:val="00300F1A"/>
    <w:rsid w:val="006A09E2"/>
    <w:rsid w:val="006F4EC8"/>
    <w:rsid w:val="00931634"/>
    <w:rsid w:val="009C6BC4"/>
    <w:rsid w:val="00CA36DD"/>
    <w:rsid w:val="00CA3888"/>
    <w:rsid w:val="00D67CFC"/>
    <w:rsid w:val="00E2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2C82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rsid w:val="00062C82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rmal (Web)"/>
    <w:basedOn w:val="a"/>
    <w:rsid w:val="00062C82"/>
    <w:pPr>
      <w:spacing w:before="105" w:after="255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062C82"/>
    <w:pPr>
      <w:ind w:left="720"/>
      <w:contextualSpacing/>
    </w:pPr>
  </w:style>
  <w:style w:type="paragraph" w:styleId="a7">
    <w:name w:val="Plain Text"/>
    <w:basedOn w:val="a"/>
    <w:link w:val="a8"/>
    <w:uiPriority w:val="99"/>
    <w:semiHidden/>
    <w:unhideWhenUsed/>
    <w:rsid w:val="009316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931634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A36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36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ebarkova</dc:creator>
  <cp:keywords/>
  <dc:description/>
  <cp:lastModifiedBy>ebarkova</cp:lastModifiedBy>
  <cp:revision>1</cp:revision>
  <dcterms:created xsi:type="dcterms:W3CDTF">2012-01-30T05:38:00Z</dcterms:created>
  <dcterms:modified xsi:type="dcterms:W3CDTF">2012-01-30T07:39:00Z</dcterms:modified>
</cp:coreProperties>
</file>