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04" w:rsidRPr="009D0295" w:rsidRDefault="007B3B04" w:rsidP="007B3B04">
      <w:pPr>
        <w:pStyle w:val="a8"/>
      </w:pPr>
      <w:r>
        <w:rPr>
          <w:rFonts w:ascii="Georgia" w:hAnsi="Georgia"/>
        </w:rPr>
        <w:t xml:space="preserve">Движение рынка вниз продолжилось на прошлой неделе. Российские фондовые индексы вернулись к уровням начала сентября, ликвидировав весь рост, связанный с объявлением QE3 и программой OMT от ЕЦБ. В пятницу индекс ММВБ впервые с 5 сентября закрылся ниже 1440, потеряв по итогам недели 1,8%, индекс РТС снизился на 3,6%. Снижение отмечалось и по мировым фондовым индексам (MSCI EM откатился до минимума за месяц). Однако дополнительное давление на российский рынок акций оказала дешевеющая нефть и продолжающийся третью неделю подряд отток средств иностранных фондов (на прошлой неделе он составил $32 млн. при том, что в целом акции развивающихся рынков привлекли $2,6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>, и приток там продолжается уже 7 недель подряд).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Внешний фон неоднозначен.</w:t>
      </w:r>
    </w:p>
    <w:p w:rsidR="007B3B04" w:rsidRDefault="007B3B04" w:rsidP="007B3B04">
      <w:pPr>
        <w:pStyle w:val="a8"/>
        <w:rPr>
          <w:rFonts w:ascii="Georgia" w:hAnsi="Georgia"/>
        </w:rPr>
      </w:pPr>
      <w:r>
        <w:rPr>
          <w:rFonts w:ascii="Georgia" w:hAnsi="Georgia"/>
        </w:rPr>
        <w:t xml:space="preserve">Рынки обеспокоены перспективами медленного роста мировой экономики; в крупнейшей экономике мира неплохие </w:t>
      </w:r>
      <w:proofErr w:type="spellStart"/>
      <w:r>
        <w:rPr>
          <w:rFonts w:ascii="Georgia" w:hAnsi="Georgia"/>
        </w:rPr>
        <w:t>макроотчеты</w:t>
      </w:r>
      <w:proofErr w:type="spellEnd"/>
      <w:r>
        <w:rPr>
          <w:rFonts w:ascii="Georgia" w:hAnsi="Georgia"/>
        </w:rPr>
        <w:t xml:space="preserve"> контрастируют со слабыми корпоративными отчетами и прогнозами компаний; в Европе экономические показатели продолжают ухудшаться. </w:t>
      </w:r>
    </w:p>
    <w:p w:rsidR="007B3B04" w:rsidRPr="009D0295" w:rsidRDefault="007B3B04" w:rsidP="007B3B04">
      <w:pPr>
        <w:pStyle w:val="a8"/>
      </w:pPr>
      <w:r>
        <w:rPr>
          <w:rFonts w:ascii="Georgia" w:hAnsi="Georgia"/>
          <w:b/>
          <w:bCs/>
        </w:rPr>
        <w:t>США</w:t>
      </w:r>
      <w:r>
        <w:rPr>
          <w:rFonts w:ascii="Georgia" w:hAnsi="Georgia"/>
        </w:rPr>
        <w:t>:</w:t>
      </w:r>
    </w:p>
    <w:p w:rsidR="009D0295" w:rsidRDefault="007B3B04" w:rsidP="007B3B04">
      <w:pPr>
        <w:pStyle w:val="a8"/>
        <w:rPr>
          <w:rFonts w:ascii="Georgia" w:hAnsi="Georgia"/>
        </w:rPr>
      </w:pPr>
      <w:r>
        <w:rPr>
          <w:rFonts w:ascii="Georgia" w:hAnsi="Georgia"/>
        </w:rPr>
        <w:t xml:space="preserve">Сезон квартальной корпоративной отчетности американских компаний пока складывается не слишком удачно (в том числе финансовые результаты и прогнозы крупнейшей публичной корпорации мира – </w:t>
      </w:r>
      <w:proofErr w:type="spellStart"/>
      <w:r>
        <w:rPr>
          <w:rFonts w:ascii="Georgia" w:hAnsi="Georgia"/>
        </w:rPr>
        <w:t>Apple</w:t>
      </w:r>
      <w:proofErr w:type="spellEnd"/>
      <w:r>
        <w:rPr>
          <w:rFonts w:ascii="Georgia" w:hAnsi="Georgia"/>
        </w:rPr>
        <w:t xml:space="preserve">   - отстали от ожиданий рынка). При этом </w:t>
      </w:r>
      <w:proofErr w:type="spellStart"/>
      <w:r>
        <w:rPr>
          <w:rFonts w:ascii="Georgia" w:hAnsi="Georgia"/>
        </w:rPr>
        <w:t>макропоказатели</w:t>
      </w:r>
      <w:proofErr w:type="spellEnd"/>
      <w:r>
        <w:rPr>
          <w:rFonts w:ascii="Georgia" w:hAnsi="Georgia"/>
        </w:rPr>
        <w:t xml:space="preserve"> США показывают тенденцию к улучшению. Так, согласно предварительной оценке </w:t>
      </w:r>
      <w:proofErr w:type="spellStart"/>
      <w:r>
        <w:rPr>
          <w:rFonts w:ascii="Georgia" w:hAnsi="Georgia"/>
        </w:rPr>
        <w:t>Минторга</w:t>
      </w:r>
      <w:proofErr w:type="spellEnd"/>
      <w:r>
        <w:rPr>
          <w:rFonts w:ascii="Georgia" w:hAnsi="Georgia"/>
        </w:rPr>
        <w:t xml:space="preserve">, рост ВВП США в 3Q ускорился до 2% по сравнению с 1,3% во 2Q и превысил консенсус-прогноз (1,8%). Это было достигнуто за счет ускорения роста потребительских расходов, значительного увеличения строительства жилья (+14,4%), повышения госрасходов; при этом возможности дальнейшего увеличения потребления сдерживаются слабым ростом располагаемых доходов, а корпоративные инвестиции </w:t>
      </w:r>
      <w:proofErr w:type="spellStart"/>
      <w:r>
        <w:rPr>
          <w:rFonts w:ascii="Georgia" w:hAnsi="Georgia"/>
        </w:rPr>
        <w:t>стагнируют</w:t>
      </w:r>
      <w:proofErr w:type="spellEnd"/>
      <w:r>
        <w:rPr>
          <w:rFonts w:ascii="Georgia" w:hAnsi="Georgia"/>
        </w:rPr>
        <w:t xml:space="preserve"> из-за неуверенности бизнеса в перспективах спроса. Октябрьский индекс потребительского доверия от </w:t>
      </w:r>
      <w:proofErr w:type="spellStart"/>
      <w:r>
        <w:rPr>
          <w:rFonts w:ascii="Georgia" w:hAnsi="Georgia"/>
        </w:rPr>
        <w:t>Thomson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Reuters</w:t>
      </w:r>
      <w:proofErr w:type="spellEnd"/>
      <w:r>
        <w:rPr>
          <w:rFonts w:ascii="Georgia" w:hAnsi="Georgia"/>
        </w:rPr>
        <w:t>/</w:t>
      </w:r>
      <w:proofErr w:type="spellStart"/>
      <w:r>
        <w:rPr>
          <w:rFonts w:ascii="Georgia" w:hAnsi="Georgia"/>
        </w:rPr>
        <w:t>University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of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Michigan</w:t>
      </w:r>
      <w:proofErr w:type="spellEnd"/>
      <w:r>
        <w:rPr>
          <w:rFonts w:ascii="Georgia" w:hAnsi="Georgia"/>
        </w:rPr>
        <w:t xml:space="preserve"> повысился до максимума с сентября 2007 г. (82,6), немного не дотянув до </w:t>
      </w:r>
      <w:proofErr w:type="spellStart"/>
      <w:proofErr w:type="gramStart"/>
      <w:r>
        <w:rPr>
          <w:rFonts w:ascii="Georgia" w:hAnsi="Georgia"/>
        </w:rPr>
        <w:t>консенсус-прогноза</w:t>
      </w:r>
      <w:proofErr w:type="spellEnd"/>
      <w:proofErr w:type="gramEnd"/>
      <w:r>
        <w:rPr>
          <w:rFonts w:ascii="Georgia" w:hAnsi="Georgia"/>
        </w:rPr>
        <w:t xml:space="preserve"> (83). Тем не менее, 2% рост ВВП – это невысокий показатель для американской экономики, а</w:t>
      </w:r>
      <w:r>
        <w:rPr>
          <w:rFonts w:ascii="Georgia" w:hAnsi="Georgia"/>
          <w:color w:val="2F2F2F"/>
        </w:rPr>
        <w:t xml:space="preserve"> </w:t>
      </w:r>
      <w:r>
        <w:rPr>
          <w:rFonts w:ascii="Georgia" w:hAnsi="Georgia"/>
        </w:rPr>
        <w:t xml:space="preserve">последний комментарий FOMC сдержанно оценивает ее возможность выйти на более сильные темпы роста, достаточные для серьезного улучшения ситуации на рынке труда. Над экономикой США по-прежнему довлеют риски «фискального обрыва» в начале 2013 г. </w:t>
      </w:r>
    </w:p>
    <w:p w:rsidR="009D0295" w:rsidRDefault="007B3B04" w:rsidP="007B3B04">
      <w:pPr>
        <w:pStyle w:val="a8"/>
        <w:rPr>
          <w:rFonts w:ascii="Georgia" w:hAnsi="Georgia"/>
        </w:rPr>
      </w:pPr>
      <w:r>
        <w:rPr>
          <w:rFonts w:ascii="Georgia" w:hAnsi="Georgia"/>
          <w:b/>
          <w:bCs/>
        </w:rPr>
        <w:t>Европа</w:t>
      </w:r>
      <w:r>
        <w:rPr>
          <w:rFonts w:ascii="Georgia" w:hAnsi="Georgia"/>
        </w:rPr>
        <w:t>: Продолжается ухудшение экономических показателей в еврозоне (</w:t>
      </w:r>
      <w:r w:rsidR="009D0295">
        <w:rPr>
          <w:rFonts w:ascii="Georgia" w:hAnsi="Georgia"/>
        </w:rPr>
        <w:t>безработица в Испании превысила</w:t>
      </w:r>
      <w:r>
        <w:rPr>
          <w:rFonts w:ascii="Georgia" w:hAnsi="Georgia"/>
        </w:rPr>
        <w:t xml:space="preserve"> 25%, агрегированный PMI еврозоны снизился до 45,8 - минимума с июня 2009 г., германский индикатор доверия бизнеса к экономике (</w:t>
      </w:r>
      <w:proofErr w:type="spellStart"/>
      <w:r>
        <w:rPr>
          <w:rFonts w:ascii="Georgia" w:hAnsi="Georgia"/>
        </w:rPr>
        <w:t>Ifo</w:t>
      </w:r>
      <w:proofErr w:type="spellEnd"/>
      <w:r>
        <w:rPr>
          <w:rFonts w:ascii="Georgia" w:hAnsi="Georgia"/>
        </w:rPr>
        <w:t xml:space="preserve">) неожиданно понизился до минимального значения с февраля 2010 г.). S&amp;P снизило кредитный рейтинг BNP </w:t>
      </w:r>
      <w:proofErr w:type="spellStart"/>
      <w:r>
        <w:rPr>
          <w:rFonts w:ascii="Georgia" w:hAnsi="Georgia"/>
        </w:rPr>
        <w:t>Paribas</w:t>
      </w:r>
      <w:proofErr w:type="spellEnd"/>
      <w:r>
        <w:rPr>
          <w:rFonts w:ascii="Georgia" w:hAnsi="Georgia"/>
        </w:rPr>
        <w:t xml:space="preserve"> с ухудшением до «негативного» прогноза для рейтингов ряда крупнейших французских банков. Рынки разочарованы нежеланием правительства Испании </w:t>
      </w:r>
      <w:proofErr w:type="gramStart"/>
      <w:r>
        <w:rPr>
          <w:rFonts w:ascii="Georgia" w:hAnsi="Georgia"/>
        </w:rPr>
        <w:t>обращаться</w:t>
      </w:r>
      <w:proofErr w:type="gramEnd"/>
      <w:r>
        <w:rPr>
          <w:rFonts w:ascii="Georgia" w:hAnsi="Georgia"/>
        </w:rPr>
        <w:t xml:space="preserve"> за помощью, что вызвало рост доходностей госбумаг.  Перспективы Греции за 2 недели до саммита </w:t>
      </w:r>
      <w:proofErr w:type="spellStart"/>
      <w:r>
        <w:rPr>
          <w:rFonts w:ascii="Georgia" w:hAnsi="Georgia"/>
        </w:rPr>
        <w:t>Ecofin</w:t>
      </w:r>
      <w:proofErr w:type="spellEnd"/>
      <w:r>
        <w:rPr>
          <w:rFonts w:ascii="Georgia" w:hAnsi="Georgia"/>
        </w:rPr>
        <w:t xml:space="preserve">, где должен решаться вопрос о предоставлении ей кредитного транша на 32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евро, без которого уже к концу ноября страна может вновь оказаться на грани дефолта, по-прежнему неясны. Несмотря на оптимистичные заявления министра финансов Греции о готовности европейских кредиторов предоставить 2-летнюю отсрочку Греции в достижении целевых </w:t>
      </w:r>
      <w:r>
        <w:rPr>
          <w:rFonts w:ascii="Georgia" w:hAnsi="Georgia"/>
        </w:rPr>
        <w:lastRenderedPageBreak/>
        <w:t xml:space="preserve">бюджетных показателей, представители ЕЦБ и Еврокомиссия утверждают, что договоренность пока не достигнута. Отчет «тройки», на основании которого будет приниматься решение по Греции, до сих пор не опубликован. В пятницу WSJ сообщила, что Греции до 2016 г. потребуется дополнительная помощь на 30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евро (ранее дефицит оценивался в 16-20 </w:t>
      </w:r>
      <w:proofErr w:type="spellStart"/>
      <w:r>
        <w:rPr>
          <w:rFonts w:ascii="Georgia" w:hAnsi="Georgia"/>
        </w:rPr>
        <w:t>млрд</w:t>
      </w:r>
      <w:proofErr w:type="spellEnd"/>
      <w:r>
        <w:rPr>
          <w:rFonts w:ascii="Georgia" w:hAnsi="Georgia"/>
        </w:rPr>
        <w:t xml:space="preserve"> евро), против чего категорически возражают Германия и ряд других европейских стран. В Италии в субботу прошла массовая демонстрация против экономической политики правительства, предусматривающих сокращение госрасходов и увольнения. Напряжения добавляет угроза осужденного миланским судом экс-премьера Италии </w:t>
      </w:r>
      <w:proofErr w:type="spellStart"/>
      <w:r>
        <w:rPr>
          <w:rFonts w:ascii="Georgia" w:hAnsi="Georgia"/>
        </w:rPr>
        <w:t>Берлускони</w:t>
      </w:r>
      <w:proofErr w:type="spellEnd"/>
      <w:r>
        <w:rPr>
          <w:rFonts w:ascii="Georgia" w:hAnsi="Georgia"/>
        </w:rPr>
        <w:t xml:space="preserve">, представляющего крупнейшую партию в парламенте, прекратить поддержку правительства </w:t>
      </w:r>
      <w:proofErr w:type="spellStart"/>
      <w:r>
        <w:rPr>
          <w:rFonts w:ascii="Georgia" w:hAnsi="Georgia"/>
        </w:rPr>
        <w:t>Монти</w:t>
      </w:r>
      <w:proofErr w:type="spellEnd"/>
      <w:r>
        <w:rPr>
          <w:rFonts w:ascii="Georgia" w:hAnsi="Georgia"/>
        </w:rPr>
        <w:t xml:space="preserve"> и поставить вопрос о доверии к нему, что потенциально может привести к политическому кризису и досрочным выборам. </w:t>
      </w:r>
    </w:p>
    <w:p w:rsidR="007B3B04" w:rsidRPr="00192C0E" w:rsidRDefault="007B3B04" w:rsidP="007B3B04">
      <w:pPr>
        <w:pStyle w:val="a8"/>
      </w:pPr>
      <w:r>
        <w:rPr>
          <w:rFonts w:ascii="Georgia" w:hAnsi="Georgia"/>
          <w:b/>
          <w:bCs/>
        </w:rPr>
        <w:t>Развивающиеся экономики</w:t>
      </w:r>
      <w:r>
        <w:rPr>
          <w:rFonts w:ascii="Georgia" w:hAnsi="Georgia"/>
        </w:rPr>
        <w:t>: последние данные по Китаю умеренно-позитивны</w:t>
      </w:r>
      <w:r w:rsidR="009D0295">
        <w:rPr>
          <w:rFonts w:ascii="Georgia" w:hAnsi="Georgia"/>
        </w:rPr>
        <w:t>е</w:t>
      </w:r>
      <w:r>
        <w:rPr>
          <w:rFonts w:ascii="Georgia" w:hAnsi="Georgia"/>
        </w:rPr>
        <w:t xml:space="preserve">. Динамика предварительного значения октябрьского PMI  подтверждает повышение показателя производственной активности в сентябре-октябре по сравнению с минимальным значением августа. В выходные вышли данные о росте прибылей китайских производственных компаний в сентябре (положительная динамика отмечается впервые за последние полгода). Неделей ранее был опубликован сентябрьский блок китайской статистики, показавший ускорение роста </w:t>
      </w:r>
      <w:proofErr w:type="spellStart"/>
      <w:r>
        <w:rPr>
          <w:rFonts w:ascii="Georgia" w:hAnsi="Georgia"/>
        </w:rPr>
        <w:t>промпроизводства</w:t>
      </w:r>
      <w:proofErr w:type="spellEnd"/>
      <w:r>
        <w:rPr>
          <w:rFonts w:ascii="Georgia" w:hAnsi="Georgia"/>
        </w:rPr>
        <w:t xml:space="preserve">, экспорта, инвестиций, розничных продаж, что дает шанс на ожидаемое правительством усиление экономической активности в 4Q после провального 3Q. Однако в целом развивающиеся экономики замедляют рост – так, увеличение ВВП Южной Кореи в 3Q стало минимальным с 2009 г. По данным </w:t>
      </w:r>
      <w:proofErr w:type="spellStart"/>
      <w:r>
        <w:rPr>
          <w:rFonts w:ascii="Georgia" w:hAnsi="Georgia"/>
        </w:rPr>
        <w:t>Bloomberg</w:t>
      </w:r>
      <w:proofErr w:type="spellEnd"/>
      <w:r>
        <w:rPr>
          <w:rFonts w:ascii="Georgia" w:hAnsi="Georgia"/>
        </w:rPr>
        <w:t>, 59% компаний из индекса MSCI EM, отчитавшихся в октябре, показали отставание фактической  прибыли от прогнозов рынка.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Корпоративные события в России.</w:t>
      </w:r>
      <w:r>
        <w:rPr>
          <w:rFonts w:ascii="Georgia" w:hAnsi="Georgia"/>
        </w:rPr>
        <w:t xml:space="preserve"> Главным ньюсмейкером вторую неделю подряд оставалась </w:t>
      </w:r>
      <w:r>
        <w:rPr>
          <w:rFonts w:ascii="Georgia" w:hAnsi="Georgia"/>
          <w:b/>
          <w:bCs/>
        </w:rPr>
        <w:t>Роснефть</w:t>
      </w:r>
      <w:r>
        <w:rPr>
          <w:rFonts w:ascii="Georgia" w:hAnsi="Georgia"/>
        </w:rPr>
        <w:t xml:space="preserve"> (+8,1%) – рынок позитивно воспринял планы полного поглощения ею ТНК-BP, что приведет к значительному усилению позиций госкомпании на внешнем и внутреннем рынк</w:t>
      </w:r>
      <w:r w:rsidR="0011250C">
        <w:rPr>
          <w:rFonts w:ascii="Georgia" w:hAnsi="Georgia"/>
        </w:rPr>
        <w:t>ах</w:t>
      </w:r>
      <w:r>
        <w:rPr>
          <w:rFonts w:ascii="Georgia" w:hAnsi="Georgia"/>
        </w:rPr>
        <w:t xml:space="preserve"> (с учетом консолидации Роснефть сможет увеличить добычу нефти с 2,4 до 4,1 </w:t>
      </w:r>
      <w:proofErr w:type="spellStart"/>
      <w:proofErr w:type="gramStart"/>
      <w:r>
        <w:rPr>
          <w:rFonts w:ascii="Georgia" w:hAnsi="Georgia"/>
        </w:rPr>
        <w:t>млн</w:t>
      </w:r>
      <w:proofErr w:type="spellEnd"/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барр</w:t>
      </w:r>
      <w:proofErr w:type="spellEnd"/>
      <w:r>
        <w:rPr>
          <w:rFonts w:ascii="Georgia" w:hAnsi="Georgia"/>
        </w:rPr>
        <w:t xml:space="preserve">/с, став крупнейшей публичной нефтяной компанией в мире, и аккумулировать примерно 40% от всего объема добычи нефти в </w:t>
      </w:r>
      <w:proofErr w:type="gramStart"/>
      <w:r>
        <w:rPr>
          <w:rFonts w:ascii="Georgia" w:hAnsi="Georgia"/>
        </w:rPr>
        <w:t>России).</w:t>
      </w:r>
      <w:proofErr w:type="gramEnd"/>
      <w:r>
        <w:rPr>
          <w:rFonts w:ascii="Georgia" w:hAnsi="Georgia"/>
        </w:rPr>
        <w:t xml:space="preserve"> Тем самым Роснефть закрепит и усилит свой «особый статус» в России, получит лучшие переговорные позиции на внешних рынках. Теоретически компания может получить дополнительный синергетический эффект от стратегического сотрудничества с ВР, однако даже в лучшем случае его реализация потребует времени,  а ожидаемое увеличение долга компании почти на $40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вызывает определенные опасения. Зато акции </w:t>
      </w:r>
      <w:r>
        <w:rPr>
          <w:rFonts w:ascii="Georgia" w:hAnsi="Georgia"/>
          <w:b/>
          <w:bCs/>
        </w:rPr>
        <w:t>ТНК-ВР</w:t>
      </w:r>
      <w:r>
        <w:rPr>
          <w:rFonts w:ascii="Georgia" w:hAnsi="Georgia"/>
        </w:rPr>
        <w:t xml:space="preserve"> [Холдинг] (ТБХ), производственной «дочки» ТНК-BP,  стали лидерами падения недели (-14,9% (</w:t>
      </w:r>
      <w:proofErr w:type="spellStart"/>
      <w:proofErr w:type="gramStart"/>
      <w:r>
        <w:rPr>
          <w:rFonts w:ascii="Georgia" w:hAnsi="Georgia"/>
        </w:rPr>
        <w:t>обыкн</w:t>
      </w:r>
      <w:proofErr w:type="spellEnd"/>
      <w:proofErr w:type="gramEnd"/>
      <w:r>
        <w:rPr>
          <w:rFonts w:ascii="Georgia" w:hAnsi="Georgia"/>
        </w:rPr>
        <w:t>), -18,3% (</w:t>
      </w:r>
      <w:proofErr w:type="spellStart"/>
      <w:r>
        <w:rPr>
          <w:rFonts w:ascii="Georgia" w:hAnsi="Georgia"/>
        </w:rPr>
        <w:t>прив</w:t>
      </w:r>
      <w:proofErr w:type="spellEnd"/>
      <w:r>
        <w:rPr>
          <w:rFonts w:ascii="Georgia" w:hAnsi="Georgia"/>
        </w:rPr>
        <w:t xml:space="preserve">) после того, как глава Роснефти И. </w:t>
      </w:r>
      <w:proofErr w:type="spellStart"/>
      <w:r>
        <w:rPr>
          <w:rFonts w:ascii="Georgia" w:hAnsi="Georgia"/>
        </w:rPr>
        <w:t>Сечин</w:t>
      </w:r>
      <w:proofErr w:type="spellEnd"/>
      <w:r>
        <w:rPr>
          <w:rFonts w:ascii="Georgia" w:hAnsi="Georgia"/>
        </w:rPr>
        <w:t xml:space="preserve"> заявил, что дивиденды приобретаемой компании будут направлены на снижение долговой нагрузки Роснефти, а вопрос выкупа акций у </w:t>
      </w:r>
      <w:proofErr w:type="spellStart"/>
      <w:r>
        <w:rPr>
          <w:rFonts w:ascii="Georgia" w:hAnsi="Georgia"/>
        </w:rPr>
        <w:t>миноритариев</w:t>
      </w:r>
      <w:proofErr w:type="spellEnd"/>
      <w:r>
        <w:rPr>
          <w:rFonts w:ascii="Georgia" w:hAnsi="Georgia"/>
        </w:rPr>
        <w:t xml:space="preserve"> ТБХ не рассматривался (формально Роснефть не обязана выставлять обязательную оферту, т.к. приобретает акции материнской компании). </w:t>
      </w:r>
      <w:proofErr w:type="gramStart"/>
      <w:r>
        <w:rPr>
          <w:rFonts w:ascii="Georgia" w:hAnsi="Georgia"/>
        </w:rPr>
        <w:t xml:space="preserve">Тем не менее, по неофициальной информации в СМИ, Роснефть может предложить </w:t>
      </w:r>
      <w:proofErr w:type="spellStart"/>
      <w:r>
        <w:rPr>
          <w:rFonts w:ascii="Georgia" w:hAnsi="Georgia"/>
        </w:rPr>
        <w:t>миноритариям</w:t>
      </w:r>
      <w:proofErr w:type="spellEnd"/>
      <w:r>
        <w:rPr>
          <w:rFonts w:ascii="Georgia" w:hAnsi="Georgia"/>
        </w:rPr>
        <w:t xml:space="preserve"> ТБХ обмен на свои акции, коэффициенты могут быть объявлены в начале 2013 г. Один из крупнейших российских </w:t>
      </w:r>
      <w:proofErr w:type="spellStart"/>
      <w:r>
        <w:rPr>
          <w:rFonts w:ascii="Georgia" w:hAnsi="Georgia"/>
        </w:rPr>
        <w:t>ритейлеров</w:t>
      </w:r>
      <w:proofErr w:type="spellEnd"/>
      <w:r>
        <w:rPr>
          <w:rFonts w:ascii="Georgia" w:hAnsi="Georgia"/>
        </w:rPr>
        <w:t xml:space="preserve">, </w:t>
      </w:r>
      <w:r>
        <w:rPr>
          <w:rFonts w:ascii="Georgia" w:hAnsi="Georgia"/>
          <w:b/>
          <w:bCs/>
        </w:rPr>
        <w:t>Магнит</w:t>
      </w:r>
      <w:r>
        <w:rPr>
          <w:rFonts w:ascii="Georgia" w:hAnsi="Georgia"/>
        </w:rPr>
        <w:t xml:space="preserve"> (-0,1%), опубликовал финансовые результаты за 3Q12, существенно превысившие ожидания рынка, однако CEO компании С. Галицкий предупредил, что достигнутый  уровень маржи по </w:t>
      </w:r>
      <w:proofErr w:type="spellStart"/>
      <w:r>
        <w:rPr>
          <w:rFonts w:ascii="Georgia" w:hAnsi="Georgia"/>
        </w:rPr>
        <w:t>Ebitda</w:t>
      </w:r>
      <w:proofErr w:type="spellEnd"/>
      <w:r>
        <w:rPr>
          <w:rFonts w:ascii="Georgia" w:hAnsi="Georgia"/>
        </w:rPr>
        <w:t xml:space="preserve"> (10,9%) слишком высок для отрасли и не</w:t>
      </w:r>
      <w:proofErr w:type="gramEnd"/>
      <w:r>
        <w:rPr>
          <w:rFonts w:ascii="Georgia" w:hAnsi="Georgia"/>
        </w:rPr>
        <w:t xml:space="preserve"> является устойчивым. Акции </w:t>
      </w:r>
      <w:r>
        <w:rPr>
          <w:rFonts w:ascii="Georgia" w:hAnsi="Georgia"/>
          <w:b/>
          <w:bCs/>
        </w:rPr>
        <w:t>ВТБ</w:t>
      </w:r>
      <w:r>
        <w:rPr>
          <w:rFonts w:ascii="Georgia" w:hAnsi="Georgia"/>
        </w:rPr>
        <w:t xml:space="preserve"> прибавили более 3% по итогам недели - инвесторы позитивно оценили планы банка продать часть профильных активов </w:t>
      </w:r>
      <w:r>
        <w:rPr>
          <w:rFonts w:ascii="Georgia" w:hAnsi="Georgia"/>
        </w:rPr>
        <w:lastRenderedPageBreak/>
        <w:t xml:space="preserve">до конца 2015 г., что должно ослабить давление на капитал. Также возрастает вероятность SPO ВТБ с привлечением дополнительного капитала в 2013 г. - согласно предложенному на днях Минэкономразвития плану приватизации на будущий год, планируется приватизация 10-25,5% акций банка. </w:t>
      </w:r>
      <w:r>
        <w:br/>
      </w:r>
      <w:r>
        <w:rPr>
          <w:rFonts w:ascii="Georgia" w:hAnsi="Georgia"/>
          <w:b/>
          <w:bCs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В пятницу</w:t>
      </w:r>
      <w:r>
        <w:rPr>
          <w:rFonts w:ascii="Georgia" w:hAnsi="Georgia"/>
        </w:rPr>
        <w:t xml:space="preserve"> большую часть дня российский рынок акций снижался вслед за мировыми фондовыми индексами и нефтью. Давление на рынки оказали разочарование корпоративными отчетами </w:t>
      </w:r>
      <w:proofErr w:type="spellStart"/>
      <w:r>
        <w:rPr>
          <w:rFonts w:ascii="Georgia" w:hAnsi="Georgia"/>
        </w:rPr>
        <w:t>Apple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Amazon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Ericsson</w:t>
      </w:r>
      <w:proofErr w:type="spellEnd"/>
      <w:r>
        <w:rPr>
          <w:rFonts w:ascii="Georgia" w:hAnsi="Georgia"/>
        </w:rPr>
        <w:t xml:space="preserve">  и ряда крупных азиатских компаний, замедление роста корейской экономики, рост безработицы в Испании и негативные рейтинговые действия S&amp;P в отношении французских банков. Выход позитивной статистики по ВВП США в 3Q  сократил потери рынка акций, цены на нефть вышли в плюс.  Вместе с тем по итогам торгов российские фондовые индексы все равно закрылись в минусе – индекс ММВБ снизился на 0,9%, индекс РТС – на 1,1%. Из немногочисленных ликвидных акций, завершивших последний день недели в плюсе, можно отметить ВТБ (+1,8%), </w:t>
      </w:r>
      <w:proofErr w:type="spellStart"/>
      <w:r>
        <w:rPr>
          <w:rFonts w:ascii="Georgia" w:hAnsi="Georgia"/>
        </w:rPr>
        <w:t>ПолюсЗолото</w:t>
      </w:r>
      <w:proofErr w:type="spellEnd"/>
      <w:r>
        <w:rPr>
          <w:rFonts w:ascii="Georgia" w:hAnsi="Georgia"/>
        </w:rPr>
        <w:t xml:space="preserve"> (+0,6%), </w:t>
      </w:r>
      <w:proofErr w:type="spellStart"/>
      <w:r>
        <w:rPr>
          <w:rFonts w:ascii="Georgia" w:hAnsi="Georgia"/>
        </w:rPr>
        <w:t>Уралкалий</w:t>
      </w:r>
      <w:proofErr w:type="spellEnd"/>
      <w:r>
        <w:rPr>
          <w:rFonts w:ascii="Georgia" w:hAnsi="Georgia"/>
        </w:rPr>
        <w:t xml:space="preserve"> (+1%).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Несмотря на хорошую статистику по ВВП, американские фондовые индексы в пятницу закрылись разнонаправлено, с незначительными изменениями. На европейских биржах преобладало умеренное повышение (в среднем в пределах 0,5%). Котировки нефтяных фьючерсов </w:t>
      </w:r>
      <w:proofErr w:type="spellStart"/>
      <w:r>
        <w:rPr>
          <w:rFonts w:ascii="Georgia" w:hAnsi="Georgia"/>
        </w:rPr>
        <w:t>Brent</w:t>
      </w:r>
      <w:proofErr w:type="spellEnd"/>
      <w:r>
        <w:rPr>
          <w:rFonts w:ascii="Georgia" w:hAnsi="Georgia"/>
        </w:rPr>
        <w:t xml:space="preserve"> прибавили около 1%, превысив $109/</w:t>
      </w:r>
      <w:proofErr w:type="spellStart"/>
      <w:r>
        <w:rPr>
          <w:rFonts w:ascii="Georgia" w:hAnsi="Georgia"/>
        </w:rPr>
        <w:t>барр</w:t>
      </w:r>
      <w:proofErr w:type="spellEnd"/>
      <w:r>
        <w:rPr>
          <w:rFonts w:ascii="Georgia" w:hAnsi="Georgia"/>
        </w:rPr>
        <w:t>.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Что ожидать сегодня</w:t>
      </w:r>
      <w:r>
        <w:rPr>
          <w:rFonts w:ascii="Georgia" w:hAnsi="Georgia"/>
        </w:rPr>
        <w:t xml:space="preserve"> – на азиатских рынках утром разнонаправленная динамика, рост розничных продаж в Японии оказался ниже </w:t>
      </w:r>
      <w:proofErr w:type="spellStart"/>
      <w:proofErr w:type="gramStart"/>
      <w:r>
        <w:rPr>
          <w:rFonts w:ascii="Georgia" w:hAnsi="Georgia"/>
        </w:rPr>
        <w:t>консенсус-прогноза</w:t>
      </w:r>
      <w:proofErr w:type="spellEnd"/>
      <w:proofErr w:type="gramEnd"/>
      <w:r>
        <w:rPr>
          <w:rFonts w:ascii="Georgia" w:hAnsi="Georgia"/>
        </w:rPr>
        <w:t xml:space="preserve">. Цены на нефть немного снижаются, несмотря на приближение урагана </w:t>
      </w:r>
      <w:proofErr w:type="spellStart"/>
      <w:r>
        <w:rPr>
          <w:rFonts w:ascii="Georgia" w:hAnsi="Georgia"/>
        </w:rPr>
        <w:t>Сэнди</w:t>
      </w:r>
      <w:proofErr w:type="spellEnd"/>
      <w:r>
        <w:rPr>
          <w:rFonts w:ascii="Georgia" w:hAnsi="Georgia"/>
        </w:rPr>
        <w:t xml:space="preserve"> к восточному побережью США. Из-за урагана сегодня не будут работать американские фондовые биржи, приостановлена работа т</w:t>
      </w:r>
      <w:r w:rsidR="009D0295">
        <w:rPr>
          <w:rFonts w:ascii="Georgia" w:hAnsi="Georgia"/>
        </w:rPr>
        <w:t>ранспорта в Нью-Йорке. Мы ожидали</w:t>
      </w:r>
      <w:r>
        <w:rPr>
          <w:rFonts w:ascii="Georgia" w:hAnsi="Georgia"/>
        </w:rPr>
        <w:t xml:space="preserve"> открытия российских торгов в слабом минусе по отношению к закрытию пятницы. В США сегодня выйдет блок статистики по доходам и расходам населения, инфляции (PCE </w:t>
      </w:r>
      <w:proofErr w:type="spellStart"/>
      <w:r>
        <w:rPr>
          <w:rFonts w:ascii="Georgia" w:hAnsi="Georgia"/>
        </w:rPr>
        <w:t>Core</w:t>
      </w:r>
      <w:proofErr w:type="spellEnd"/>
      <w:r>
        <w:rPr>
          <w:rFonts w:ascii="Georgia" w:hAnsi="Georgia"/>
        </w:rPr>
        <w:t>), а также индекс производственной активности от ФРБ Далласа. Из статистики сегодня выходят также розничные продажи в Японии и предварительные показатели инфляции в Германии. ВТБ проведет День Инвестора в Лондоне (2 ноября –</w:t>
      </w:r>
      <w:r w:rsidR="009D0295">
        <w:rPr>
          <w:rFonts w:ascii="Georgia" w:hAnsi="Georgia"/>
        </w:rPr>
        <w:t xml:space="preserve"> </w:t>
      </w:r>
      <w:r>
        <w:rPr>
          <w:rFonts w:ascii="Georgia" w:hAnsi="Georgia"/>
        </w:rPr>
        <w:t>в Москве)</w:t>
      </w:r>
      <w:proofErr w:type="gramStart"/>
      <w:r>
        <w:rPr>
          <w:rFonts w:ascii="Georgia" w:hAnsi="Georgia"/>
        </w:rPr>
        <w:t>.П</w:t>
      </w:r>
      <w:proofErr w:type="gramEnd"/>
      <w:r>
        <w:rPr>
          <w:rFonts w:ascii="Georgia" w:hAnsi="Georgia"/>
        </w:rPr>
        <w:t xml:space="preserve">ройдет заседание совета директоров </w:t>
      </w:r>
      <w:proofErr w:type="spellStart"/>
      <w:r>
        <w:rPr>
          <w:rFonts w:ascii="Georgia" w:hAnsi="Georgia"/>
        </w:rPr>
        <w:t>Татнефти</w:t>
      </w:r>
      <w:proofErr w:type="spellEnd"/>
      <w:r>
        <w:rPr>
          <w:rFonts w:ascii="Georgia" w:hAnsi="Georgia"/>
        </w:rPr>
        <w:t>.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Наступившая неделя</w:t>
      </w:r>
      <w:r>
        <w:rPr>
          <w:rFonts w:ascii="Georgia" w:hAnsi="Georgia"/>
        </w:rPr>
        <w:t xml:space="preserve"> ожидается весьма интенсивной: фактически, это последняя полная неделя перед президентскими выборами в США (6 ноября). По предварительным результатам досрочного голосования, </w:t>
      </w:r>
      <w:proofErr w:type="spellStart"/>
      <w:r>
        <w:rPr>
          <w:rFonts w:ascii="Georgia" w:hAnsi="Georgia"/>
        </w:rPr>
        <w:t>Обама</w:t>
      </w:r>
      <w:proofErr w:type="spellEnd"/>
      <w:r>
        <w:rPr>
          <w:rFonts w:ascii="Georgia" w:hAnsi="Georgia"/>
        </w:rPr>
        <w:t xml:space="preserve"> опережает </w:t>
      </w:r>
      <w:proofErr w:type="spellStart"/>
      <w:r>
        <w:rPr>
          <w:rFonts w:ascii="Georgia" w:hAnsi="Georgia"/>
        </w:rPr>
        <w:t>Ромни</w:t>
      </w:r>
      <w:proofErr w:type="spellEnd"/>
      <w:r>
        <w:rPr>
          <w:rFonts w:ascii="Georgia" w:hAnsi="Georgia"/>
        </w:rPr>
        <w:t xml:space="preserve"> на 15% (54% против 39%). В то же время по данным опроса телеканала ABC и издания "Вашингтон пост", за </w:t>
      </w:r>
      <w:proofErr w:type="spellStart"/>
      <w:r>
        <w:rPr>
          <w:rFonts w:ascii="Georgia" w:hAnsi="Georgia"/>
        </w:rPr>
        <w:t>Ромни</w:t>
      </w:r>
      <w:proofErr w:type="spellEnd"/>
      <w:r>
        <w:rPr>
          <w:rFonts w:ascii="Georgia" w:hAnsi="Georgia"/>
        </w:rPr>
        <w:t xml:space="preserve"> готовы проголосовать 49% респондентов, а за </w:t>
      </w:r>
      <w:proofErr w:type="spellStart"/>
      <w:r>
        <w:rPr>
          <w:rFonts w:ascii="Georgia" w:hAnsi="Georgia"/>
        </w:rPr>
        <w:t>Обаму</w:t>
      </w:r>
      <w:proofErr w:type="spellEnd"/>
      <w:r>
        <w:rPr>
          <w:rFonts w:ascii="Georgia" w:hAnsi="Georgia"/>
        </w:rPr>
        <w:t xml:space="preserve"> – лишь 48%, т.е. с учетом 3% погрешности шансы кандидатов фактически равны. Выборы могут поддержать рынки хотя бы краткосрочно, за счет появления большей определенности в будущем экономическом курсе. Однако затем, скорее всего, будет отыгрываться тема «фискального обрыва» и возможного давления на кредитный рейтинг США из-за сохраняющихся разногласий двух основных партий в отношении отмены льгот по налогам и социальных программ. Из </w:t>
      </w:r>
      <w:proofErr w:type="spellStart"/>
      <w:r>
        <w:rPr>
          <w:rFonts w:ascii="Georgia" w:hAnsi="Georgia"/>
        </w:rPr>
        <w:t>макростатистики</w:t>
      </w:r>
      <w:proofErr w:type="spellEnd"/>
      <w:r>
        <w:rPr>
          <w:rFonts w:ascii="Georgia" w:hAnsi="Georgia"/>
        </w:rPr>
        <w:t xml:space="preserve"> основными отчетами недели станут показатели производственной активности в США, Китае (1 ноября) и в странах еврозоны (2 ноября), а также последний предвыборный отчет по рынку труда в США (безработица и </w:t>
      </w:r>
      <w:proofErr w:type="spellStart"/>
      <w:r>
        <w:rPr>
          <w:rFonts w:ascii="Georgia" w:hAnsi="Georgia"/>
        </w:rPr>
        <w:t>non-farm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payrolls</w:t>
      </w:r>
      <w:proofErr w:type="spellEnd"/>
      <w:r>
        <w:rPr>
          <w:rFonts w:ascii="Georgia" w:hAnsi="Georgia"/>
        </w:rPr>
        <w:t xml:space="preserve">, 2 ноября). Европейские лидеры продолжат попытки прийти к общему решению по Греции (по информации </w:t>
      </w:r>
      <w:proofErr w:type="spellStart"/>
      <w:r>
        <w:rPr>
          <w:rFonts w:ascii="Georgia" w:hAnsi="Georgia"/>
        </w:rPr>
        <w:t>Bloomberg</w:t>
      </w:r>
      <w:proofErr w:type="spellEnd"/>
      <w:r>
        <w:rPr>
          <w:rFonts w:ascii="Georgia" w:hAnsi="Georgia"/>
        </w:rPr>
        <w:t xml:space="preserve">, 31 октября планируется телеконференция министров финансов еврозоны, до того </w:t>
      </w:r>
      <w:r>
        <w:rPr>
          <w:rFonts w:ascii="Georgia" w:hAnsi="Georgia"/>
        </w:rPr>
        <w:lastRenderedPageBreak/>
        <w:t xml:space="preserve">глава МВФ К. </w:t>
      </w:r>
      <w:proofErr w:type="spellStart"/>
      <w:r>
        <w:rPr>
          <w:rFonts w:ascii="Georgia" w:hAnsi="Georgia"/>
        </w:rPr>
        <w:t>Лагард</w:t>
      </w:r>
      <w:proofErr w:type="spellEnd"/>
      <w:r>
        <w:rPr>
          <w:rFonts w:ascii="Georgia" w:hAnsi="Georgia"/>
        </w:rPr>
        <w:t xml:space="preserve"> встретится с Ф. </w:t>
      </w:r>
      <w:proofErr w:type="spellStart"/>
      <w:r>
        <w:rPr>
          <w:rFonts w:ascii="Georgia" w:hAnsi="Georgia"/>
        </w:rPr>
        <w:t>Олландом</w:t>
      </w:r>
      <w:proofErr w:type="spellEnd"/>
      <w:r>
        <w:rPr>
          <w:rFonts w:ascii="Georgia" w:hAnsi="Georgia"/>
        </w:rPr>
        <w:t xml:space="preserve"> и А. </w:t>
      </w:r>
      <w:proofErr w:type="spellStart"/>
      <w:r>
        <w:rPr>
          <w:rFonts w:ascii="Georgia" w:hAnsi="Georgia"/>
        </w:rPr>
        <w:t>Меркель</w:t>
      </w:r>
      <w:proofErr w:type="spellEnd"/>
      <w:r>
        <w:rPr>
          <w:rFonts w:ascii="Georgia" w:hAnsi="Georgia"/>
        </w:rPr>
        <w:t xml:space="preserve">). По всей видимости, лидеры ЕС в очередной раз сделают все возможное, чтобы и на этот раз не допустить дефолта Греции. Пройдут аукционы по размещению </w:t>
      </w:r>
      <w:proofErr w:type="spellStart"/>
      <w:r>
        <w:rPr>
          <w:rFonts w:ascii="Georgia" w:hAnsi="Georgia"/>
        </w:rPr>
        <w:t>гособлигаций</w:t>
      </w:r>
      <w:proofErr w:type="spellEnd"/>
      <w:r>
        <w:rPr>
          <w:rFonts w:ascii="Georgia" w:hAnsi="Georgia"/>
        </w:rPr>
        <w:t xml:space="preserve"> Италии, Франции и Германии. Финансовую отчетность за 3Q12 опубликуют европейские банки (</w:t>
      </w:r>
      <w:proofErr w:type="spellStart"/>
      <w:r>
        <w:rPr>
          <w:rFonts w:ascii="Georgia" w:hAnsi="Georgia"/>
        </w:rPr>
        <w:t>Deutsche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Bank</w:t>
      </w:r>
      <w:proofErr w:type="spellEnd"/>
      <w:r>
        <w:rPr>
          <w:rFonts w:ascii="Georgia" w:hAnsi="Georgia"/>
        </w:rPr>
        <w:t xml:space="preserve">, UBS). </w:t>
      </w:r>
      <w:proofErr w:type="spellStart"/>
      <w:r>
        <w:rPr>
          <w:rFonts w:ascii="Georgia" w:hAnsi="Georgia"/>
        </w:rPr>
        <w:t>E.on</w:t>
      </w:r>
      <w:proofErr w:type="spellEnd"/>
      <w:r>
        <w:rPr>
          <w:rFonts w:ascii="Georgia" w:hAnsi="Georgia"/>
        </w:rPr>
        <w:t xml:space="preserve"> Россия и ТНК-ВР 30 октября опубликует операционные и финансовые результаты за 3Q12 по МСФО. В начале ноября ожидается публикация Роснефтью финансовой отчетности по МСФО за 9М12 и 3Q12. Для российского рынка конец месяца традиционно связан с завершением налоговых платежей, после чего ситуация с ликвидностью становится менее напряженной. Надеемся на некоторый отскок наверх в течение этой недели.</w:t>
      </w:r>
    </w:p>
    <w:p w:rsidR="009126F6" w:rsidRPr="009126F6" w:rsidRDefault="009126F6" w:rsidP="009126F6">
      <w:pPr>
        <w:rPr>
          <w:lang w:val="ru-RU"/>
        </w:rPr>
      </w:pPr>
      <w:r w:rsidRPr="009126F6">
        <w:rPr>
          <w:rFonts w:ascii="Calibri" w:hAnsi="Calibri"/>
          <w:color w:val="002060"/>
          <w:lang w:val="ru-RU"/>
        </w:rPr>
        <w:t>Ольга Беленькая,</w:t>
      </w:r>
      <w:r w:rsidRPr="009126F6">
        <w:rPr>
          <w:lang w:val="ru-RU"/>
        </w:rPr>
        <w:t xml:space="preserve"> </w:t>
      </w:r>
      <w:r w:rsidRPr="009126F6">
        <w:rPr>
          <w:rFonts w:ascii="Calibri" w:hAnsi="Calibri"/>
          <w:color w:val="002060"/>
          <w:lang w:val="ru-RU"/>
        </w:rPr>
        <w:t>зам. руководителя аналитического департамент</w:t>
      </w:r>
      <w:proofErr w:type="gramStart"/>
      <w:r w:rsidRPr="009126F6">
        <w:rPr>
          <w:rFonts w:ascii="Calibri" w:hAnsi="Calibri"/>
          <w:color w:val="002060"/>
          <w:lang w:val="ru-RU"/>
        </w:rPr>
        <w:t>а</w:t>
      </w:r>
      <w:r w:rsidRPr="009126F6">
        <w:rPr>
          <w:lang w:val="ru-RU"/>
        </w:rPr>
        <w:t xml:space="preserve"> </w:t>
      </w:r>
      <w:r w:rsidRPr="009126F6">
        <w:rPr>
          <w:rFonts w:ascii="Calibri" w:hAnsi="Calibri"/>
          <w:color w:val="002060"/>
          <w:lang w:val="ru-RU"/>
        </w:rPr>
        <w:t>ООО</w:t>
      </w:r>
      <w:proofErr w:type="gramEnd"/>
      <w:r w:rsidRPr="009126F6">
        <w:rPr>
          <w:rFonts w:ascii="Calibri" w:hAnsi="Calibri"/>
          <w:color w:val="002060"/>
          <w:lang w:val="ru-RU"/>
        </w:rPr>
        <w:t xml:space="preserve"> "СОВЛИНК"</w:t>
      </w:r>
    </w:p>
    <w:p w:rsidR="00CD6C58" w:rsidRPr="00192C0E" w:rsidRDefault="00CD6C58" w:rsidP="00CD6C58">
      <w:pPr>
        <w:pStyle w:val="a8"/>
      </w:pPr>
    </w:p>
    <w:sectPr w:rsidR="00CD6C58" w:rsidRPr="00192C0E" w:rsidSect="005F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201"/>
    <w:rsid w:val="000C1384"/>
    <w:rsid w:val="000E61D4"/>
    <w:rsid w:val="0011250C"/>
    <w:rsid w:val="00192C0E"/>
    <w:rsid w:val="00230D0D"/>
    <w:rsid w:val="002E13CD"/>
    <w:rsid w:val="0039575F"/>
    <w:rsid w:val="005A5490"/>
    <w:rsid w:val="005C6201"/>
    <w:rsid w:val="005F61D1"/>
    <w:rsid w:val="0061069D"/>
    <w:rsid w:val="007221CA"/>
    <w:rsid w:val="00731CE9"/>
    <w:rsid w:val="00763BF1"/>
    <w:rsid w:val="007732E3"/>
    <w:rsid w:val="007B3B04"/>
    <w:rsid w:val="0081500B"/>
    <w:rsid w:val="009126F6"/>
    <w:rsid w:val="009D0295"/>
    <w:rsid w:val="009F30F2"/>
    <w:rsid w:val="00A853E8"/>
    <w:rsid w:val="00C139CD"/>
    <w:rsid w:val="00CD6C58"/>
    <w:rsid w:val="00EF635D"/>
    <w:rsid w:val="00F3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192C0E"/>
    <w:pPr>
      <w:suppressAutoHyphens w:val="0"/>
    </w:pPr>
    <w:rPr>
      <w:rFonts w:ascii="Consolas" w:eastAsiaTheme="minorHAnsi" w:hAnsi="Consolas" w:cstheme="minorBidi"/>
      <w:sz w:val="21"/>
      <w:szCs w:val="21"/>
      <w:lang w:val="ru-RU" w:eastAsia="en-US"/>
    </w:rPr>
  </w:style>
  <w:style w:type="character" w:customStyle="1" w:styleId="a4">
    <w:name w:val="Текст Знак"/>
    <w:basedOn w:val="a0"/>
    <w:link w:val="a3"/>
    <w:uiPriority w:val="99"/>
    <w:semiHidden/>
    <w:rsid w:val="00192C0E"/>
    <w:rPr>
      <w:rFonts w:ascii="Consolas" w:hAnsi="Consolas"/>
      <w:sz w:val="21"/>
      <w:szCs w:val="21"/>
    </w:rPr>
  </w:style>
  <w:style w:type="paragraph" w:styleId="a5">
    <w:name w:val="No Spacing"/>
    <w:uiPriority w:val="1"/>
    <w:qFormat/>
    <w:rsid w:val="007732E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F63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35D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pple-converted-space">
    <w:name w:val="apple-converted-space"/>
    <w:basedOn w:val="a0"/>
    <w:rsid w:val="00C139CD"/>
  </w:style>
  <w:style w:type="paragraph" w:styleId="a8">
    <w:name w:val="Normal (Web)"/>
    <w:basedOn w:val="a"/>
    <w:uiPriority w:val="99"/>
    <w:unhideWhenUsed/>
    <w:rsid w:val="0039575F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11052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nfrolova</dc:creator>
  <cp:lastModifiedBy>nfrolova</cp:lastModifiedBy>
  <cp:revision>2</cp:revision>
  <dcterms:created xsi:type="dcterms:W3CDTF">2012-10-29T05:06:00Z</dcterms:created>
  <dcterms:modified xsi:type="dcterms:W3CDTF">2012-10-29T10:29:00Z</dcterms:modified>
</cp:coreProperties>
</file>