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tbl>
      <w:tblPr>
        <w:tblW w:w="1020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785EEB" w:rsidTr="00785EEB">
        <w:trPr>
          <w:tblCellSpacing w:w="0" w:type="dxa"/>
        </w:trPr>
        <w:tc>
          <w:tcPr>
            <w:tcW w:w="10206" w:type="dxa"/>
            <w:vAlign w:val="center"/>
            <w:hideMark/>
          </w:tcPr>
          <w:p w:rsidR="00785EEB" w:rsidRDefault="00785EEB" w:rsidP="00300BBC">
            <w:pPr>
              <w:ind w:right="284"/>
              <w:jc w:val="center"/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00" cy="2095500"/>
                  <wp:effectExtent l="0" t="0" r="0" b="0"/>
                  <wp:docPr id="3" name="Рисунок 3" descr="cid:image001.jpg@01D08298.51C4B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jpg@01D08298.51C4B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EEB" w:rsidTr="00785EEB">
        <w:trPr>
          <w:trHeight w:val="80"/>
          <w:tblCellSpacing w:w="0" w:type="dxa"/>
        </w:trPr>
        <w:tc>
          <w:tcPr>
            <w:tcW w:w="10206" w:type="dxa"/>
            <w:shd w:val="clear" w:color="auto" w:fill="F5F5F5"/>
            <w:vAlign w:val="center"/>
            <w:hideMark/>
          </w:tcPr>
          <w:tbl>
            <w:tblPr>
              <w:tblW w:w="4949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8969"/>
              <w:gridCol w:w="566"/>
            </w:tblGrid>
            <w:tr w:rsidR="00785EEB" w:rsidTr="00785EEB">
              <w:trPr>
                <w:trHeight w:val="150"/>
                <w:tblCellSpacing w:w="0" w:type="dxa"/>
              </w:trPr>
              <w:tc>
                <w:tcPr>
                  <w:tcW w:w="567" w:type="dxa"/>
                  <w:shd w:val="clear" w:color="auto" w:fill="FFFFFF"/>
                  <w:vAlign w:val="center"/>
                  <w:hideMark/>
                </w:tcPr>
                <w:p w:rsidR="00785EEB" w:rsidRDefault="00785EEB" w:rsidP="00785EEB">
                  <w:pPr>
                    <w:ind w:right="284"/>
                  </w:pPr>
                </w:p>
              </w:tc>
              <w:tc>
                <w:tcPr>
                  <w:tcW w:w="8969" w:type="dxa"/>
                  <w:shd w:val="clear" w:color="auto" w:fill="FFFFFF"/>
                  <w:vAlign w:val="center"/>
                  <w:hideMark/>
                </w:tcPr>
                <w:p w:rsidR="00785EEB" w:rsidRDefault="00785EEB" w:rsidP="00785EEB">
                  <w:pPr>
                    <w:ind w:right="284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6" w:type="dxa"/>
                  <w:shd w:val="clear" w:color="auto" w:fill="FFFFFF"/>
                  <w:vAlign w:val="center"/>
                  <w:hideMark/>
                </w:tcPr>
                <w:p w:rsidR="00785EEB" w:rsidRDefault="00785EEB" w:rsidP="00785EEB">
                  <w:pPr>
                    <w:ind w:right="284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785EEB" w:rsidTr="00785EEB">
              <w:trPr>
                <w:trHeight w:val="9666"/>
                <w:tblCellSpacing w:w="0" w:type="dxa"/>
              </w:trPr>
              <w:tc>
                <w:tcPr>
                  <w:tcW w:w="567" w:type="dxa"/>
                  <w:vAlign w:val="center"/>
                  <w:hideMark/>
                </w:tcPr>
                <w:p w:rsidR="00785EEB" w:rsidRDefault="00785EEB" w:rsidP="00785EEB">
                  <w:pPr>
                    <w:ind w:right="284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969" w:type="dxa"/>
                  <w:vAlign w:val="center"/>
                  <w:hideMark/>
                </w:tcPr>
                <w:p w:rsidR="00785EEB" w:rsidRDefault="00785EEB" w:rsidP="00785EEB">
                  <w:pPr>
                    <w:ind w:right="284"/>
                    <w:rPr>
                      <w:rFonts w:ascii="Calibri" w:hAnsi="Calibri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Обзор международных финансовых рынков</w:t>
                  </w:r>
                </w:p>
                <w:p w:rsidR="00785EEB" w:rsidRDefault="00785EEB" w:rsidP="00785EEB">
                  <w:pPr>
                    <w:spacing w:after="240"/>
                    <w:ind w:right="284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  <w:p w:rsidR="00785EEB" w:rsidRDefault="00785EEB" w:rsidP="00785EEB">
                  <w:pPr>
                    <w:spacing w:after="240"/>
                    <w:ind w:right="284"/>
                  </w:pPr>
                  <w:r>
                    <w:rPr>
                      <w:rFonts w:ascii="Arial" w:hAnsi="Arial" w:cs="Arial"/>
                      <w:noProof/>
                      <w:sz w:val="26"/>
                      <w:szCs w:val="26"/>
                      <w:lang w:eastAsia="ru-RU"/>
                    </w:rPr>
                    <w:drawing>
                      <wp:inline distT="0" distB="0" distL="0" distR="0">
                        <wp:extent cx="1190625" cy="1190625"/>
                        <wp:effectExtent l="0" t="0" r="9525" b="9525"/>
                        <wp:docPr id="2" name="Рисунок 2" descr="cid:image002.jpg@01CE7D8D.1A6B3F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id:image002.jpg@01CE7D8D.1A6B3F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r:link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85EEB" w:rsidRDefault="00785EEB" w:rsidP="00785EEB">
                  <w:pPr>
                    <w:ind w:right="284"/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Владимир Брагин,</w:t>
                  </w: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6"/>
                      <w:szCs w:val="26"/>
                    </w:rPr>
                    <w:t>директор по анализу финансовых рынков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6"/>
                      <w:szCs w:val="26"/>
                    </w:rPr>
                    <w:br/>
                    <w:t>и макроэкономики УК «Альфа-Капитал»</w:t>
                  </w:r>
                </w:p>
                <w:p w:rsidR="00785EEB" w:rsidRDefault="00785EEB" w:rsidP="00785EEB">
                  <w:pPr>
                    <w:ind w:right="284"/>
                  </w:pPr>
                  <w:r>
                    <w:rPr>
                      <w:color w:val="1F497D"/>
                    </w:rPr>
                    <w:t> </w:t>
                  </w:r>
                </w:p>
                <w:p w:rsidR="00785EEB" w:rsidRDefault="00785EEB" w:rsidP="00785EEB">
                  <w:pPr>
                    <w:ind w:right="284"/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6"/>
                      <w:szCs w:val="26"/>
                    </w:rPr>
                    <w:t>_1. АКТИВНОСТЬ ЗАТУХАЕТ ПЕРЕД ПРАЗДНИКАМИ</w:t>
                  </w:r>
                </w:p>
                <w:p w:rsidR="00785EEB" w:rsidRDefault="00785EEB" w:rsidP="00785EEB">
                  <w:pPr>
                    <w:spacing w:after="144"/>
                    <w:ind w:left="142" w:right="284"/>
                    <w:jc w:val="both"/>
                  </w:pPr>
                  <w:r>
                    <w:rPr>
                      <w:rFonts w:ascii="Arial" w:hAnsi="Arial" w:cs="Arial"/>
                    </w:rPr>
                    <w:t xml:space="preserve">Прошедшую пятидневку российский рынок завершает небольшим ростом, но в преддверии длинных майских праздников впадает в «спячку» и без каких-либо значимых событий, активность на рынке останется минимальной вплоть до середины мая.  Основной фактор, оказывающий сейчас влияние на рынок — это курс рубля по отношению к доллару, но и на валютном рынке активность в ближайшие дни будет снижаться. </w:t>
                  </w:r>
                </w:p>
                <w:p w:rsidR="00785EEB" w:rsidRDefault="00785EEB" w:rsidP="00785EEB">
                  <w:pPr>
                    <w:spacing w:after="144"/>
                    <w:ind w:left="142" w:right="284"/>
                    <w:jc w:val="both"/>
                  </w:pPr>
                  <w:r>
                    <w:rPr>
                      <w:rFonts w:ascii="Arial" w:hAnsi="Arial" w:cs="Arial"/>
                    </w:rPr>
                    <w:t xml:space="preserve">Глобально российский рынок сейчас выглядит немного перекупленным. Из-за сильного укрепления рубля в апреле дисконт по отношению к развивающимся аналогам сократился до докризисного уровня. Такая оценка не отражает ни существующих геополитических рисков, ни фундаментальных факторов в виде ослабления макроэкономических индикаторов и снижения стимулирующего эффекта от слабого рубля.   В мае, когда будут публиковаться отчеты за 1 кв., рынок может увидеть не те темпы роста прибыли, на которые рассчитывал после декабрьского ослабления рубля. Разочарование, в свою очередь, может спровоцировать коррекцию на российском рынке, которую мы предпочитаем переждать в иностранных бумагах. Тем более, что крупные западные компании, в целом, пока отчитываются лучше ожиданий. </w:t>
                  </w:r>
                </w:p>
                <w:p w:rsidR="00785EEB" w:rsidRDefault="00785EEB" w:rsidP="00785EEB">
                  <w:pPr>
                    <w:spacing w:after="144"/>
                    <w:ind w:left="142" w:right="284"/>
                    <w:jc w:val="both"/>
                  </w:pPr>
                  <w:r>
                    <w:rPr>
                      <w:rFonts w:ascii="Arial" w:hAnsi="Arial" w:cs="Arial"/>
                    </w:rPr>
                    <w:lastRenderedPageBreak/>
                    <w:t xml:space="preserve">Несмотря на укрепление рубля, отдельные имена выглядят интересными. Обвал на валютном рынке в ноябре-декабре спровоцировал ускорение инфляции, в то время как обратное движение привело лишь к нормализации темпов инфляции. По сути, импортеры, в том числе ритейлеры, довольно быстро переложили рост издержек на потребителей, но при этом снижение цен, которое следует ожидать после последующего укрепления рубля, происходит уже не так активно. Эта разница в реакции цен на укрепление и ослабление рубля приведет к росту рентабельности ритейлеров. На этом фоне покупка, отдельных имен сектора (Магнит, Лента и т.п.) кажется нам интересной. </w:t>
                  </w:r>
                </w:p>
                <w:p w:rsidR="00785EEB" w:rsidRDefault="00785EEB" w:rsidP="00785EEB">
                  <w:pPr>
                    <w:spacing w:after="144"/>
                    <w:ind w:left="142" w:right="284"/>
                    <w:jc w:val="both"/>
                  </w:pPr>
                  <w:r>
                    <w:rPr>
                      <w:rFonts w:ascii="Arial" w:hAnsi="Arial" w:cs="Arial"/>
                    </w:rPr>
                    <w:t>В наших фондах мы сократили экспозицию на российские акции до минимальной, предпочитая покупать крупные имена с развитых рынков.  Пока сохраняются низкие ставки ФРС США и действует программа количественного смягчения ЕЦБ, интересными остаются капиталоемкие сектора, например, высокие технологии и здравоохранение.</w:t>
                  </w:r>
                </w:p>
                <w:p w:rsidR="00785EEB" w:rsidRDefault="00785EEB" w:rsidP="00785EEB">
                  <w:pPr>
                    <w:spacing w:after="144"/>
                    <w:ind w:left="142" w:right="284"/>
                    <w:jc w:val="both"/>
                  </w:pPr>
                  <w:r>
                    <w:rPr>
                      <w:rFonts w:ascii="Arial" w:hAnsi="Arial" w:cs="Arial"/>
                    </w:rPr>
                    <w:t> </w:t>
                  </w:r>
                  <w:bookmarkStart w:id="0" w:name="_GoBack"/>
                  <w:bookmarkEnd w:id="0"/>
                </w:p>
                <w:p w:rsidR="00785EEB" w:rsidRDefault="00785EEB" w:rsidP="00785EEB">
                  <w:pPr>
                    <w:ind w:right="284"/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6"/>
                      <w:szCs w:val="26"/>
                    </w:rPr>
                    <w:t>_2. РАЗВИТЫЕ ЛУЧЕШЕ РАЗВИВАЮЩИХСЯ</w:t>
                  </w:r>
                </w:p>
                <w:p w:rsidR="00785EEB" w:rsidRDefault="00785EEB" w:rsidP="00785EEB">
                  <w:pPr>
                    <w:spacing w:after="144"/>
                    <w:ind w:left="142" w:right="284"/>
                    <w:jc w:val="both"/>
                  </w:pPr>
                  <w:r>
                    <w:rPr>
                      <w:rFonts w:ascii="Arial" w:hAnsi="Arial" w:cs="Arial"/>
                    </w:rPr>
                    <w:t>Несмотря на отличную доходность развивающихся рынков с начала года, мы предпочитаем делать ставку на развитые рынки, а не на развивающиеся, для чего есть ряд причин. Например, резкий рост индекса Shanghai Composite сравним с движением в 2007 году, которое может завершиться резким разворотом, к тому же и новостной поток, и также выходящая статистика говорят не в пользу китайской экономики. Другой интересной историей на развивающихся рынках была Россия, но ее привлекательность сильно снизилась после укрепления рубля в последние месяцы.</w:t>
                  </w:r>
                </w:p>
                <w:p w:rsidR="00785EEB" w:rsidRDefault="00785EEB" w:rsidP="00785EEB">
                  <w:pPr>
                    <w:spacing w:after="144"/>
                    <w:ind w:left="142" w:right="284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Что касается развитых рынков, то мы ожидаем положительного эффекта от стимулирующих мер в Японии и Европе, а в случае США – сохранения сверхмягкой денежно-кредитной политики. Очередное заседание ФРС пройдет сегодня, и с учетом ухудшения макростатистики, ожидания скорого повышения ставки ФРС должны ослабнуть. Поэтому мы продолжаем рекомендовать иностранные ценные бумаги с развитых рынков.</w:t>
                  </w:r>
                </w:p>
                <w:p w:rsidR="00785EEB" w:rsidRDefault="00785EEB" w:rsidP="00785EEB">
                  <w:pPr>
                    <w:spacing w:after="144"/>
                    <w:ind w:left="142" w:right="284"/>
                    <w:jc w:val="both"/>
                  </w:pPr>
                </w:p>
                <w:p w:rsidR="00785EEB" w:rsidRDefault="00785EEB" w:rsidP="00785EEB">
                  <w:pPr>
                    <w:ind w:right="284"/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6"/>
                      <w:szCs w:val="26"/>
                    </w:rPr>
                    <w:t>_3. ЗАСЕДАНИЕ ЦБ: МОМЕНТ ИСТИНЫ</w:t>
                  </w:r>
                </w:p>
                <w:p w:rsidR="00785EEB" w:rsidRDefault="00785EEB" w:rsidP="00785EEB">
                  <w:pPr>
                    <w:spacing w:after="144"/>
                    <w:ind w:left="142" w:right="284"/>
                    <w:jc w:val="both"/>
                  </w:pPr>
                  <w:r>
                    <w:rPr>
                      <w:rFonts w:ascii="Arial" w:hAnsi="Arial" w:cs="Arial"/>
                    </w:rPr>
                    <w:t>Завтра пройдет заседание ЦБ, по итогам которого ставка с высокой вероятностью будет снижена на 1.0 или даже 2.0 п.п. Судя по доходности ОФЗ, рынок ожидает очень скорой «нормализации» режима денежно-кредитной политики ЦБ, текущие котировки госбумаг больше соответствуют ключевой ставке ниже 10% против текущих 14%. Поэтому излишняя осторожность ЦБ может спровоцировать коррекцию в ОФЗ.</w:t>
                  </w:r>
                </w:p>
                <w:p w:rsidR="00785EEB" w:rsidRDefault="00785EEB" w:rsidP="00785EEB">
                  <w:pPr>
                    <w:spacing w:after="144"/>
                    <w:ind w:left="142" w:right="284"/>
                    <w:jc w:val="both"/>
                  </w:pPr>
                  <w:r>
                    <w:rPr>
                      <w:rFonts w:ascii="Arial" w:hAnsi="Arial" w:cs="Arial"/>
                    </w:rPr>
                    <w:t xml:space="preserve">К счастью, сочетание текущего уровня инфляции и курса рубля дает ЦБ возможность продолжать активное снижение рублевой ставки. Более того, даже снижение на 1.0 п.п. не должно быть воспринято рынком чересчур негативно. Особенно, если ЦБ в пресс-релизе к итогам заседания продолжит ссылаться на ожидаемую инфляцию на горизонте 12 мес., игнорирую тем самым скачок инфляции в начале этого года в качестве фактора, влияющего на решение о ставках. </w:t>
                  </w:r>
                </w:p>
                <w:p w:rsidR="00785EEB" w:rsidRDefault="00785EEB" w:rsidP="00785EEB">
                  <w:pPr>
                    <w:spacing w:after="144"/>
                    <w:ind w:left="142" w:right="284"/>
                    <w:jc w:val="both"/>
                  </w:pPr>
                  <w:r>
                    <w:rPr>
                      <w:rFonts w:ascii="Arial" w:hAnsi="Arial" w:cs="Arial"/>
                      <w:b/>
                      <w:bCs/>
                    </w:rPr>
                    <w:t xml:space="preserve">Больше всего снижение ставки ЦБ должно сказаться на корпоративных облигациях 1 и качественного 2 эшелона, где кредитные спреды по-прежнему </w:t>
                  </w:r>
                  <w:r>
                    <w:rPr>
                      <w:rFonts w:ascii="Arial" w:hAnsi="Arial" w:cs="Arial"/>
                      <w:b/>
                      <w:bCs/>
                    </w:rPr>
                    <w:lastRenderedPageBreak/>
                    <w:t>слишком широки. Если в ОФЗ некоторое разочарование при малом снижении ставки ЦБ возможно, то качественный корпоративный рублевый сегмент, вероятнее всего, продолжит опережающее восстановление.</w:t>
                  </w:r>
                </w:p>
                <w:p w:rsidR="00785EEB" w:rsidRDefault="00785EEB" w:rsidP="00785EEB">
                  <w:pPr>
                    <w:ind w:right="284"/>
                  </w:pPr>
                  <w:r>
                    <w:rPr>
                      <w:rFonts w:ascii="Arial" w:hAnsi="Arial" w:cs="Arial"/>
                      <w:b/>
                      <w:bCs/>
                    </w:rPr>
                    <w:t> </w:t>
                  </w:r>
                </w:p>
              </w:tc>
              <w:tc>
                <w:tcPr>
                  <w:tcW w:w="566" w:type="dxa"/>
                  <w:vAlign w:val="center"/>
                  <w:hideMark/>
                </w:tcPr>
                <w:p w:rsidR="00785EEB" w:rsidRDefault="00785EEB" w:rsidP="00785EEB">
                  <w:pPr>
                    <w:ind w:right="284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 </w:t>
                  </w:r>
                </w:p>
              </w:tc>
            </w:tr>
          </w:tbl>
          <w:p w:rsidR="00785EEB" w:rsidRDefault="00785EEB" w:rsidP="00785EEB">
            <w:pPr>
              <w:ind w:right="284"/>
              <w:rPr>
                <w:rFonts w:ascii="Calibri" w:hAnsi="Calibri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5715000" cy="762000"/>
                  <wp:effectExtent l="0" t="0" r="0" b="0"/>
                  <wp:docPr id="1" name="Рисунок 1" descr="cid:image003.gif@01D08298.51C4B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3.gif@01D08298.51C4B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120A" w:rsidRPr="00930623" w:rsidRDefault="00010BA9" w:rsidP="00785EEB">
      <w:pPr>
        <w:spacing w:before="240" w:line="276" w:lineRule="auto"/>
        <w:ind w:right="28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lastRenderedPageBreak/>
        <w:t xml:space="preserve"> </w:t>
      </w:r>
    </w:p>
    <w:sectPr w:rsidR="0040120A" w:rsidRPr="00930623" w:rsidSect="00785EEB">
      <w:footerReference w:type="default" r:id="rId12"/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048" w:rsidRDefault="005E0048" w:rsidP="00EF2DCA">
      <w:pPr>
        <w:spacing w:after="0" w:line="240" w:lineRule="auto"/>
      </w:pPr>
      <w:r>
        <w:separator/>
      </w:r>
    </w:p>
  </w:endnote>
  <w:endnote w:type="continuationSeparator" w:id="0">
    <w:p w:rsidR="005E0048" w:rsidRDefault="005E0048" w:rsidP="00EF2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0562390"/>
      <w:docPartObj>
        <w:docPartGallery w:val="Page Numbers (Bottom of Page)"/>
        <w:docPartUnique/>
      </w:docPartObj>
    </w:sdtPr>
    <w:sdtContent>
      <w:p w:rsidR="00300BBC" w:rsidRDefault="00300BB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00BBC" w:rsidRDefault="00300BB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048" w:rsidRDefault="005E0048" w:rsidP="00EF2DCA">
      <w:pPr>
        <w:spacing w:after="0" w:line="240" w:lineRule="auto"/>
      </w:pPr>
      <w:r>
        <w:separator/>
      </w:r>
    </w:p>
  </w:footnote>
  <w:footnote w:type="continuationSeparator" w:id="0">
    <w:p w:rsidR="005E0048" w:rsidRDefault="005E0048" w:rsidP="00EF2D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8EA"/>
    <w:rsid w:val="00000B7B"/>
    <w:rsid w:val="00002F8F"/>
    <w:rsid w:val="00010BA9"/>
    <w:rsid w:val="00032B3F"/>
    <w:rsid w:val="000675FD"/>
    <w:rsid w:val="000D0F4A"/>
    <w:rsid w:val="000E2167"/>
    <w:rsid w:val="0015332A"/>
    <w:rsid w:val="0019359A"/>
    <w:rsid w:val="0019498D"/>
    <w:rsid w:val="001C7DE2"/>
    <w:rsid w:val="00300BBC"/>
    <w:rsid w:val="003668FE"/>
    <w:rsid w:val="003737FA"/>
    <w:rsid w:val="003C56FA"/>
    <w:rsid w:val="0040120A"/>
    <w:rsid w:val="004A676A"/>
    <w:rsid w:val="004E42EF"/>
    <w:rsid w:val="004F7632"/>
    <w:rsid w:val="0051704B"/>
    <w:rsid w:val="00562130"/>
    <w:rsid w:val="005E0048"/>
    <w:rsid w:val="006530A8"/>
    <w:rsid w:val="006A3465"/>
    <w:rsid w:val="006C33E4"/>
    <w:rsid w:val="007272AD"/>
    <w:rsid w:val="00785EEB"/>
    <w:rsid w:val="007A32A7"/>
    <w:rsid w:val="007B5126"/>
    <w:rsid w:val="007C020D"/>
    <w:rsid w:val="007C52C8"/>
    <w:rsid w:val="007F55E6"/>
    <w:rsid w:val="00930623"/>
    <w:rsid w:val="00982E92"/>
    <w:rsid w:val="00A86893"/>
    <w:rsid w:val="00AC7FEA"/>
    <w:rsid w:val="00AD7685"/>
    <w:rsid w:val="00B31DB5"/>
    <w:rsid w:val="00BD23DE"/>
    <w:rsid w:val="00CA72DD"/>
    <w:rsid w:val="00D047FD"/>
    <w:rsid w:val="00D05F5F"/>
    <w:rsid w:val="00D13308"/>
    <w:rsid w:val="00D35BAF"/>
    <w:rsid w:val="00D44F91"/>
    <w:rsid w:val="00DA68EA"/>
    <w:rsid w:val="00E1044E"/>
    <w:rsid w:val="00E12C62"/>
    <w:rsid w:val="00E85496"/>
    <w:rsid w:val="00E925E1"/>
    <w:rsid w:val="00EF2DCA"/>
    <w:rsid w:val="00EF6BBA"/>
    <w:rsid w:val="00F95D37"/>
    <w:rsid w:val="00FB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884F8F-2ECC-4851-AD30-ED62079D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2DCA"/>
  </w:style>
  <w:style w:type="paragraph" w:styleId="a5">
    <w:name w:val="footer"/>
    <w:basedOn w:val="a"/>
    <w:link w:val="a6"/>
    <w:uiPriority w:val="99"/>
    <w:unhideWhenUsed/>
    <w:rsid w:val="00EF2D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F2DCA"/>
  </w:style>
  <w:style w:type="paragraph" w:styleId="a7">
    <w:name w:val="Plain Text"/>
    <w:basedOn w:val="a"/>
    <w:link w:val="a8"/>
    <w:uiPriority w:val="99"/>
    <w:semiHidden/>
    <w:unhideWhenUsed/>
    <w:rsid w:val="00EF2DCA"/>
    <w:pPr>
      <w:spacing w:after="0" w:line="240" w:lineRule="auto"/>
    </w:pPr>
    <w:rPr>
      <w:rFonts w:ascii="Calibri" w:hAnsi="Calibri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EF2DCA"/>
    <w:rPr>
      <w:rFonts w:ascii="Calibri" w:hAnsi="Calibri"/>
      <w:szCs w:val="21"/>
    </w:rPr>
  </w:style>
  <w:style w:type="character" w:styleId="a9">
    <w:name w:val="Hyperlink"/>
    <w:basedOn w:val="a0"/>
    <w:uiPriority w:val="99"/>
    <w:unhideWhenUsed/>
    <w:rsid w:val="00EF6BBA"/>
    <w:rPr>
      <w:color w:val="5F5F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0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jpg@01D08298.51C4B470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cid:image003.gif@01D08298.51C4B470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gif"/><Relationship Id="rId4" Type="http://schemas.openxmlformats.org/officeDocument/2006/relationships/footnotes" Target="footnotes.xml"/><Relationship Id="rId9" Type="http://schemas.openxmlformats.org/officeDocument/2006/relationships/image" Target="cid:image002.jpg@01D08298.51C4B470" TargetMode="Externa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Натуральные материалы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Натуральные материалы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Натуральные материалы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Финам</Company>
  <LinksUpToDate>false</LinksUpToDate>
  <CharactersWithSpaces>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akolesnikova</dc:creator>
  <cp:keywords/>
  <dc:description/>
  <cp:lastModifiedBy>akolesnikova</cp:lastModifiedBy>
  <cp:revision>2</cp:revision>
  <dcterms:created xsi:type="dcterms:W3CDTF">2015-04-29T13:29:00Z</dcterms:created>
  <dcterms:modified xsi:type="dcterms:W3CDTF">2015-04-29T13:29:00Z</dcterms:modified>
</cp:coreProperties>
</file>