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60" w:rsidRDefault="00941E60" w:rsidP="00941E60">
      <w:pPr>
        <w:spacing w:before="100" w:beforeAutospacing="1" w:after="100" w:afterAutospacing="1"/>
        <w:rPr>
          <w:rFonts w:ascii="Arial" w:eastAsia="MS Mincho" w:hAnsi="Arial" w:cs="Arial"/>
          <w:b/>
          <w:color w:val="FFFFFF" w:themeColor="background1"/>
          <w:sz w:val="28"/>
          <w:szCs w:val="28"/>
        </w:rPr>
      </w:pPr>
      <w:r>
        <w:rPr>
          <w:rFonts w:ascii="Arial" w:eastAsia="MS Mincho" w:hAnsi="Arial" w:cs="Arial"/>
          <w:b/>
          <w:color w:val="000000" w:themeColor="text1"/>
        </w:rPr>
        <w:t>Реализация точечных идей не судит кучности выстрелов</w:t>
      </w:r>
      <w:r>
        <w:rPr>
          <w:rFonts w:ascii="Arial" w:eastAsia="MS Mincho" w:hAnsi="Arial" w:cs="Arial"/>
          <w:b/>
          <w:color w:val="FFFFFF" w:themeColor="background1"/>
          <w:highlight w:val="darkRed"/>
        </w:rPr>
        <w:t xml:space="preserve"> </w:t>
      </w:r>
    </w:p>
    <w:p w:rsidR="00941E60" w:rsidRDefault="00941E60" w:rsidP="00941E60">
      <w:pPr>
        <w:spacing w:before="60" w:after="200"/>
        <w:rPr>
          <w:rFonts w:ascii="Cambria" w:eastAsia="Times New Roman" w:hAnsi="Cambria"/>
          <w:b/>
          <w:bCs/>
          <w:color w:val="4F81BD"/>
          <w:sz w:val="26"/>
          <w:szCs w:val="26"/>
        </w:rPr>
      </w:pPr>
      <w:r>
        <w:rPr>
          <w:rFonts w:ascii="Calibri" w:eastAsia="Times New Roman" w:hAnsi="Calibri" w:cs="Calibri"/>
          <w:b/>
          <w:bCs/>
          <w:color w:val="000000"/>
        </w:rPr>
        <w:t xml:space="preserve"> </w:t>
      </w:r>
      <w:r>
        <w:rPr>
          <w:rFonts w:ascii="Cambria" w:eastAsia="Times New Roman" w:hAnsi="Cambria"/>
          <w:b/>
          <w:bCs/>
          <w:color w:val="4F81BD"/>
          <w:sz w:val="26"/>
          <w:szCs w:val="26"/>
        </w:rPr>
        <w:t>Основные дальнейшие сценарии</w:t>
      </w:r>
    </w:p>
    <w:p w:rsidR="00941E60" w:rsidRDefault="00941E60" w:rsidP="00941E60">
      <w:pPr>
        <w:spacing w:after="200"/>
        <w:jc w:val="both"/>
        <w:rPr>
          <w:rFonts w:ascii="Calibri" w:hAnsi="Calibri" w:cstheme="minorHAnsi"/>
        </w:rPr>
      </w:pPr>
      <w:proofErr w:type="gramStart"/>
      <w:r>
        <w:rPr>
          <w:rFonts w:ascii="Calibri" w:hAnsi="Calibri" w:cstheme="minorHAnsi"/>
        </w:rPr>
        <w:t>Как мы ранее писали, укрепление доллара после «чёрной пятницы» продолжительностью в месяц – сценарий практически предопределённый, и «исход в качество» здесь вряд ли играет первую скрипку – особенно на фоне скверных ожиданий от деятельность бюджетного «</w:t>
      </w:r>
      <w:proofErr w:type="spellStart"/>
      <w:r>
        <w:rPr>
          <w:rFonts w:ascii="Calibri" w:hAnsi="Calibri" w:cstheme="minorHAnsi"/>
        </w:rPr>
        <w:t>суперкомитета</w:t>
      </w:r>
      <w:proofErr w:type="spellEnd"/>
      <w:r>
        <w:rPr>
          <w:rFonts w:ascii="Calibri" w:hAnsi="Calibri" w:cstheme="minorHAnsi"/>
        </w:rPr>
        <w:t>» в США (</w:t>
      </w:r>
      <w:r>
        <w:rPr>
          <w:rFonts w:ascii="Calibri" w:hAnsi="Calibri" w:cstheme="minorHAnsi"/>
          <w:lang w:val="en-US"/>
        </w:rPr>
        <w:t>Moody</w:t>
      </w:r>
      <w:r>
        <w:rPr>
          <w:rFonts w:ascii="Calibri" w:hAnsi="Calibri" w:cstheme="minorHAnsi"/>
        </w:rPr>
        <w:t>’</w:t>
      </w:r>
      <w:r>
        <w:rPr>
          <w:rFonts w:ascii="Calibri" w:hAnsi="Calibri" w:cstheme="minorHAnsi"/>
          <w:lang w:val="en-US"/>
        </w:rPr>
        <w:t>s</w:t>
      </w:r>
      <w:r>
        <w:rPr>
          <w:rFonts w:ascii="Calibri" w:hAnsi="Calibri" w:cstheme="minorHAnsi"/>
        </w:rPr>
        <w:t xml:space="preserve"> недвусмысленно намекнули если не на очередное понижение суверенного рейтинга, то, по крайней мере, на понижение прогноза – в случае, если сенаторы так и</w:t>
      </w:r>
      <w:proofErr w:type="gramEnd"/>
      <w:r>
        <w:rPr>
          <w:rFonts w:ascii="Calibri" w:hAnsi="Calibri" w:cstheme="minorHAnsi"/>
        </w:rPr>
        <w:t xml:space="preserve"> не смогут достичь консенсуса, а механизм «</w:t>
      </w:r>
      <w:proofErr w:type="spellStart"/>
      <w:r>
        <w:rPr>
          <w:rFonts w:ascii="Calibri" w:hAnsi="Calibri" w:cstheme="minorHAnsi"/>
        </w:rPr>
        <w:t>автосеквестирования</w:t>
      </w:r>
      <w:proofErr w:type="spellEnd"/>
      <w:r>
        <w:rPr>
          <w:rFonts w:ascii="Calibri" w:hAnsi="Calibri" w:cstheme="minorHAnsi"/>
        </w:rPr>
        <w:t xml:space="preserve">» по каким-то причинам будет </w:t>
      </w:r>
      <w:proofErr w:type="spellStart"/>
      <w:r>
        <w:rPr>
          <w:rFonts w:ascii="Calibri" w:hAnsi="Calibri" w:cstheme="minorHAnsi"/>
        </w:rPr>
        <w:t>пробуксовывать</w:t>
      </w:r>
      <w:proofErr w:type="spellEnd"/>
      <w:r>
        <w:rPr>
          <w:rFonts w:ascii="Calibri" w:hAnsi="Calibri" w:cstheme="minorHAnsi"/>
        </w:rPr>
        <w:t xml:space="preserve">). Основная причина укрепления «зелёного» - банальный спрос на американскую валюту, в которой номинировано более 75% оптовых, розничных и </w:t>
      </w:r>
      <w:proofErr w:type="spellStart"/>
      <w:r>
        <w:rPr>
          <w:rFonts w:ascii="Calibri" w:hAnsi="Calibri" w:cstheme="minorHAnsi"/>
        </w:rPr>
        <w:t>онлайн-цен</w:t>
      </w:r>
      <w:proofErr w:type="spellEnd"/>
      <w:r>
        <w:rPr>
          <w:rFonts w:ascii="Calibri" w:hAnsi="Calibri" w:cstheme="minorHAnsi"/>
        </w:rPr>
        <w:t xml:space="preserve"> в мире. </w:t>
      </w:r>
    </w:p>
    <w:p w:rsidR="00941E60" w:rsidRDefault="00941E60" w:rsidP="00941E60">
      <w:pPr>
        <w:spacing w:after="200"/>
        <w:jc w:val="both"/>
        <w:rPr>
          <w:rFonts w:ascii="Calibri" w:hAnsi="Calibri" w:cstheme="minorHAnsi"/>
        </w:rPr>
      </w:pPr>
      <w:proofErr w:type="gramStart"/>
      <w:r>
        <w:rPr>
          <w:rFonts w:ascii="Calibri" w:hAnsi="Calibri" w:cstheme="minorHAnsi"/>
        </w:rPr>
        <w:t xml:space="preserve">В условиях укрепления доллара логично ожидать дальнейшего ослабления евро, однако отметка $1.30 выглядит неплохим уровнем поддержки, пробитие которого может произойти только в результате какого-то из ряда вон выходящего события в Европе (гадать не будем, но фантазия подсказывает наличие неплохого ассортимента «страшилок» - особенно после того как канцлер ФРГ </w:t>
      </w:r>
      <w:proofErr w:type="spellStart"/>
      <w:r>
        <w:rPr>
          <w:rFonts w:ascii="Calibri" w:hAnsi="Calibri" w:cstheme="minorHAnsi"/>
        </w:rPr>
        <w:t>Меркель</w:t>
      </w:r>
      <w:proofErr w:type="spellEnd"/>
      <w:r>
        <w:rPr>
          <w:rFonts w:ascii="Calibri" w:hAnsi="Calibri" w:cstheme="minorHAnsi"/>
        </w:rPr>
        <w:t xml:space="preserve"> в очередной раз отвергла идею выпуска единых евробондов и запретила ЕЦБ выступать</w:t>
      </w:r>
      <w:proofErr w:type="gramEnd"/>
      <w:r>
        <w:rPr>
          <w:rFonts w:ascii="Calibri" w:hAnsi="Calibri" w:cstheme="minorHAnsi"/>
        </w:rPr>
        <w:t xml:space="preserve"> в роли «кредитора последней инстанции»). Между тем, на рынке существует как минимум одна позитивная </w:t>
      </w:r>
      <w:proofErr w:type="spellStart"/>
      <w:r>
        <w:rPr>
          <w:rFonts w:ascii="Calibri" w:hAnsi="Calibri" w:cstheme="minorHAnsi"/>
        </w:rPr>
        <w:t>инвестидея</w:t>
      </w:r>
      <w:proofErr w:type="spellEnd"/>
      <w:r>
        <w:rPr>
          <w:rFonts w:ascii="Calibri" w:hAnsi="Calibri" w:cstheme="minorHAnsi"/>
        </w:rPr>
        <w:t xml:space="preserve">, требующая самого пристального к себе отношения. </w:t>
      </w:r>
    </w:p>
    <w:p w:rsidR="00941E60" w:rsidRDefault="00941E60" w:rsidP="00941E60">
      <w:pPr>
        <w:spacing w:after="200"/>
        <w:jc w:val="both"/>
        <w:rPr>
          <w:rFonts w:ascii="Calibri" w:hAnsi="Calibri" w:cstheme="minorHAnsi"/>
        </w:rPr>
      </w:pPr>
      <w:r>
        <w:rPr>
          <w:rFonts w:ascii="Calibri" w:hAnsi="Calibri" w:cstheme="minorHAnsi"/>
        </w:rPr>
        <w:t>Речь идёт о сильно подешевевшем за последние недели золоте. Ошибочно утверждать, что золото имеет какую-то существенную корреляцию с евро; наоборот, исторически оно выполняло своеобразную роль «серого кардинала», периоды укрепления которого были приурочены либо к а) внезапному расширению денежной (не только долларовой!) массы в мире; либо к б) эпизодам одинакового неприятия как «исходов в качество», так и «толерантности к рискам». На наш взгляд, при цене тройской унции $1,680, которая буквально лежит на техническом уровне поддержки «жёлтого металла» и учитывая риски дополнительного фискального стимулирования как со стороны ЕЦБ, так и – ФРС (в последних тезиса</w:t>
      </w:r>
      <w:proofErr w:type="gramStart"/>
      <w:r>
        <w:rPr>
          <w:rFonts w:ascii="Calibri" w:hAnsi="Calibri" w:cstheme="minorHAnsi"/>
        </w:rPr>
        <w:t>х-</w:t>
      </w:r>
      <w:proofErr w:type="gramEnd"/>
      <w:r>
        <w:rPr>
          <w:rFonts w:ascii="Calibri" w:hAnsi="Calibri" w:cstheme="minorHAnsi"/>
        </w:rPr>
        <w:t xml:space="preserve">«минутках» некоторые члены Комитета по открытым рынкам США высказывались в пользу дополнительного «количественного смягчения») золото выглядит уж слишком соблазнительно, чтобы просто «пройти мимо». </w:t>
      </w:r>
    </w:p>
    <w:p w:rsidR="00941E60" w:rsidRDefault="00941E60" w:rsidP="00941E60">
      <w:pPr>
        <w:spacing w:after="200"/>
        <w:jc w:val="both"/>
        <w:rPr>
          <w:rFonts w:ascii="Calibri" w:hAnsi="Calibri" w:cstheme="minorHAnsi"/>
        </w:rPr>
      </w:pPr>
      <w:r>
        <w:rPr>
          <w:rFonts w:ascii="Calibri" w:hAnsi="Calibri" w:cstheme="minorHAnsi"/>
        </w:rPr>
        <w:t xml:space="preserve">В течение ближайшего времени СМИ могут распространять репортажи об успехах сезона распродаж в США, что может служить источником краткосрочных всплесков интереса инвесторов к таким </w:t>
      </w:r>
      <w:proofErr w:type="spellStart"/>
      <w:r>
        <w:rPr>
          <w:rFonts w:ascii="Calibri" w:hAnsi="Calibri" w:cstheme="minorHAnsi"/>
        </w:rPr>
        <w:t>ритейлерам</w:t>
      </w:r>
      <w:proofErr w:type="spellEnd"/>
      <w:r>
        <w:rPr>
          <w:rFonts w:ascii="Calibri" w:hAnsi="Calibri" w:cstheme="minorHAnsi"/>
        </w:rPr>
        <w:t xml:space="preserve"> как </w:t>
      </w:r>
      <w:proofErr w:type="spellStart"/>
      <w:r>
        <w:rPr>
          <w:rFonts w:ascii="Calibri" w:hAnsi="Calibri" w:cstheme="minorHAnsi"/>
          <w:lang w:val="en-US"/>
        </w:rPr>
        <w:t>WalMart</w:t>
      </w:r>
      <w:proofErr w:type="spellEnd"/>
      <w:r>
        <w:rPr>
          <w:rFonts w:ascii="Calibri" w:hAnsi="Calibri" w:cstheme="minorHAnsi"/>
        </w:rPr>
        <w:t xml:space="preserve">, </w:t>
      </w:r>
      <w:r>
        <w:rPr>
          <w:rFonts w:ascii="Calibri" w:hAnsi="Calibri" w:cstheme="minorHAnsi"/>
          <w:lang w:val="en-US"/>
        </w:rPr>
        <w:t>Target</w:t>
      </w:r>
      <w:r>
        <w:rPr>
          <w:rFonts w:ascii="Calibri" w:hAnsi="Calibri" w:cstheme="minorHAnsi"/>
        </w:rPr>
        <w:t xml:space="preserve">, </w:t>
      </w:r>
      <w:r>
        <w:rPr>
          <w:rFonts w:ascii="Calibri" w:hAnsi="Calibri" w:cstheme="minorHAnsi"/>
          <w:lang w:val="en-US"/>
        </w:rPr>
        <w:t>Macy</w:t>
      </w:r>
      <w:r>
        <w:rPr>
          <w:rFonts w:ascii="Calibri" w:hAnsi="Calibri" w:cstheme="minorHAnsi"/>
        </w:rPr>
        <w:t>’</w:t>
      </w:r>
      <w:r>
        <w:rPr>
          <w:rFonts w:ascii="Calibri" w:hAnsi="Calibri" w:cstheme="minorHAnsi"/>
          <w:lang w:val="en-US"/>
        </w:rPr>
        <w:t>s</w:t>
      </w:r>
      <w:r>
        <w:rPr>
          <w:rFonts w:ascii="Calibri" w:hAnsi="Calibri" w:cstheme="minorHAnsi"/>
        </w:rPr>
        <w:t xml:space="preserve"> и других – следствием которых будет краткосрочный взлёт котировок их акций, которые мы можем использовать для закрытия с прибылью соответствующих позиций. В целом, широкий рынок будет оставаться чрезвычайно </w:t>
      </w:r>
      <w:proofErr w:type="spellStart"/>
      <w:r>
        <w:rPr>
          <w:rFonts w:ascii="Calibri" w:hAnsi="Calibri" w:cstheme="minorHAnsi"/>
        </w:rPr>
        <w:t>волатильным</w:t>
      </w:r>
      <w:proofErr w:type="spellEnd"/>
      <w:r>
        <w:rPr>
          <w:rFonts w:ascii="Calibri" w:hAnsi="Calibri" w:cstheme="minorHAnsi"/>
        </w:rPr>
        <w:t xml:space="preserve"> и плохо предсказуемым, поэтому мы нацелены на реализацию лишь точечных инвестиционных идей – подобных описанным выше.</w:t>
      </w:r>
    </w:p>
    <w:p w:rsidR="00941E60" w:rsidRDefault="00941E60" w:rsidP="00941E60">
      <w:pPr>
        <w:spacing w:after="200"/>
        <w:jc w:val="both"/>
        <w:rPr>
          <w:rFonts w:ascii="Cambria" w:eastAsia="Times New Roman" w:hAnsi="Cambria"/>
          <w:b/>
          <w:bCs/>
          <w:color w:val="4F81BD"/>
          <w:sz w:val="26"/>
          <w:szCs w:val="26"/>
        </w:rPr>
      </w:pPr>
    </w:p>
    <w:p w:rsidR="00941E60" w:rsidRDefault="00941E60" w:rsidP="00941E60">
      <w:pPr>
        <w:spacing w:after="200"/>
        <w:jc w:val="both"/>
        <w:rPr>
          <w:rFonts w:ascii="Cambria" w:eastAsia="Times New Roman" w:hAnsi="Cambria"/>
          <w:b/>
          <w:bCs/>
          <w:color w:val="4F81BD"/>
          <w:sz w:val="26"/>
          <w:szCs w:val="26"/>
        </w:rPr>
      </w:pPr>
      <w:r>
        <w:rPr>
          <w:rFonts w:ascii="Cambria" w:eastAsia="Times New Roman" w:hAnsi="Cambria"/>
          <w:b/>
          <w:bCs/>
          <w:color w:val="4F81BD"/>
          <w:sz w:val="26"/>
          <w:szCs w:val="26"/>
        </w:rPr>
        <w:t xml:space="preserve">Календарь событий на предстоящую неделю </w:t>
      </w:r>
    </w:p>
    <w:p w:rsidR="00941E60" w:rsidRDefault="00941E60" w:rsidP="00941E60">
      <w:pPr>
        <w:spacing w:after="200"/>
        <w:jc w:val="both"/>
      </w:pPr>
      <w:r>
        <w:rPr>
          <w:rFonts w:ascii="Calibri" w:hAnsi="Calibri"/>
        </w:rPr>
        <w:t xml:space="preserve">Экономические данные на этой неделе будут по-прежнему выполнять лишь вспомогательную функцию – доказывая или, наоборот, опровергая потенциальную глубину кризиса в Еврозоне и бюджетные проблемы в США. В центре внимания будут </w:t>
      </w:r>
      <w:r>
        <w:rPr>
          <w:rFonts w:ascii="Calibri" w:hAnsi="Calibri"/>
        </w:rPr>
        <w:lastRenderedPageBreak/>
        <w:t xml:space="preserve">находиться в большей мере текущие аукционы по размещению государственных долговых аукционов в таких странах как Италия, Испания и Франция </w:t>
      </w:r>
      <w:proofErr w:type="gramStart"/>
      <w:r>
        <w:rPr>
          <w:rFonts w:ascii="Calibri" w:hAnsi="Calibri"/>
        </w:rPr>
        <w:t>–п</w:t>
      </w:r>
      <w:proofErr w:type="gramEnd"/>
      <w:r>
        <w:rPr>
          <w:rFonts w:ascii="Calibri" w:hAnsi="Calibri"/>
        </w:rPr>
        <w:t>ока что всё указывает лишь на углубление степени недоверия инвесторов и желание многих из них оставаться в стороне от европейских долговых проблем. Что касается США, то самой интересной для участников рынка статистикой будут, безусловно, первые результаты рождественских распродаж сетевых гипермаркетов, которые по своей значимости легко перевесят, скажем, данные по рынку недвижимости США.</w:t>
      </w:r>
    </w:p>
    <w:p w:rsidR="00941E60" w:rsidRDefault="00941E60" w:rsidP="00941E60">
      <w:pPr>
        <w:spacing w:after="200"/>
        <w:jc w:val="both"/>
      </w:pPr>
    </w:p>
    <w:p w:rsidR="00941E60" w:rsidRDefault="00941E60" w:rsidP="00941E60">
      <w:pPr>
        <w:pStyle w:val="a3"/>
        <w:spacing w:before="0" w:beforeAutospacing="0" w:after="0" w:afterAutospacing="0"/>
        <w:ind w:left="720" w:hanging="360"/>
        <w:jc w:val="both"/>
      </w:pPr>
      <w:r>
        <w:rPr>
          <w:rFonts w:ascii="Calibri" w:eastAsia="Calibri" w:hAnsi="Calibri"/>
        </w:rPr>
        <w:t>1.</w:t>
      </w:r>
      <w:r>
        <w:rPr>
          <w:rFonts w:eastAsia="Calibri"/>
          <w:sz w:val="14"/>
          <w:szCs w:val="14"/>
        </w:rPr>
        <w:t xml:space="preserve">       </w:t>
      </w:r>
      <w:r>
        <w:rPr>
          <w:rFonts w:ascii="Calibri" w:hAnsi="Calibri"/>
        </w:rPr>
        <w:t xml:space="preserve">Важным массивом данных по США станет </w:t>
      </w:r>
      <w:r>
        <w:rPr>
          <w:rFonts w:ascii="Calibri" w:hAnsi="Calibri"/>
          <w:b/>
          <w:bCs/>
        </w:rPr>
        <w:t>статистика по созданию рабочих ме</w:t>
      </w:r>
      <w:proofErr w:type="gramStart"/>
      <w:r>
        <w:rPr>
          <w:rFonts w:ascii="Calibri" w:hAnsi="Calibri"/>
          <w:b/>
          <w:bCs/>
        </w:rPr>
        <w:t>ст в СШ</w:t>
      </w:r>
      <w:proofErr w:type="gramEnd"/>
      <w:r>
        <w:rPr>
          <w:rFonts w:ascii="Calibri" w:hAnsi="Calibri"/>
          <w:b/>
          <w:bCs/>
        </w:rPr>
        <w:t>А в ноябре</w:t>
      </w:r>
      <w:r>
        <w:rPr>
          <w:rFonts w:ascii="Calibri" w:hAnsi="Calibri"/>
        </w:rPr>
        <w:t xml:space="preserve"> и </w:t>
      </w:r>
      <w:r>
        <w:rPr>
          <w:rFonts w:ascii="Calibri" w:hAnsi="Calibri"/>
          <w:b/>
          <w:bCs/>
        </w:rPr>
        <w:t>данные о заявках на пособия по безработице</w:t>
      </w:r>
      <w:r>
        <w:rPr>
          <w:rFonts w:ascii="Calibri" w:hAnsi="Calibri"/>
        </w:rPr>
        <w:t xml:space="preserve">. Во-первых, мы не считаем, что единожды вышедшая случайная цифра по первичным заявкам может считаться началом нового понижательного тренда, т.к. для этого нет объективных причин. С другой стороны, в разгар сезона рождественских распродаж американские работодатели обычно не так активны в сокращении «лишних» рабочих мест, поэтому мы ожидаем увидеть итоговую цифру хоть и незначительно, но </w:t>
      </w:r>
      <w:proofErr w:type="spellStart"/>
      <w:proofErr w:type="gramStart"/>
      <w:r>
        <w:rPr>
          <w:rFonts w:ascii="Calibri" w:hAnsi="Calibri"/>
        </w:rPr>
        <w:t>всё-равно</w:t>
      </w:r>
      <w:proofErr w:type="spellEnd"/>
      <w:proofErr w:type="gramEnd"/>
      <w:r>
        <w:rPr>
          <w:rFonts w:ascii="Calibri" w:hAnsi="Calibri"/>
        </w:rPr>
        <w:t xml:space="preserve"> выше 400 тыс. заявок. Что касается новых рабочих мест в несельскохозяйственных секторах – то пик их создания должен прийтись на декабрь (по аналогичным вышеуказанным причинам), в то время как ноябрь является обычно весьма вялым месяцем. Мы сильно сомневаемся, что консенсус-прогноз рынка на уровне выше 100 тыс. новых рабочих мест в частном секторе на самом деле оправдается. Более реалистичная для нас цифра – порядка 90 тыс. новых вакансий.</w:t>
      </w:r>
    </w:p>
    <w:p w:rsidR="00941E60" w:rsidRDefault="00941E60" w:rsidP="00941E60">
      <w:pPr>
        <w:pStyle w:val="a3"/>
        <w:spacing w:before="0" w:beforeAutospacing="0" w:after="0" w:afterAutospacing="0"/>
        <w:ind w:left="720" w:hanging="360"/>
        <w:jc w:val="both"/>
      </w:pPr>
      <w:r>
        <w:rPr>
          <w:rFonts w:ascii="Calibri" w:eastAsia="Calibri" w:hAnsi="Calibri"/>
        </w:rPr>
        <w:t>2.</w:t>
      </w:r>
      <w:r>
        <w:rPr>
          <w:rFonts w:eastAsia="Calibri"/>
          <w:sz w:val="14"/>
          <w:szCs w:val="14"/>
        </w:rPr>
        <w:t xml:space="preserve">       </w:t>
      </w:r>
      <w:r>
        <w:rPr>
          <w:rFonts w:ascii="Calibri" w:hAnsi="Calibri"/>
        </w:rPr>
        <w:t xml:space="preserve">Прогноз рынка по </w:t>
      </w:r>
      <w:r>
        <w:rPr>
          <w:rFonts w:ascii="Calibri" w:hAnsi="Calibri"/>
          <w:b/>
          <w:bCs/>
        </w:rPr>
        <w:t>уровню безработицы в США за ноябрь</w:t>
      </w:r>
      <w:r>
        <w:rPr>
          <w:rFonts w:ascii="Calibri" w:hAnsi="Calibri"/>
        </w:rPr>
        <w:t xml:space="preserve"> также, по нашему мнению, несколько излишне оптимистичен; мы полагаем, что этот показатель заведомо должен оказаться выше психологически важной отметки в 9%.</w:t>
      </w:r>
    </w:p>
    <w:p w:rsidR="00941E60" w:rsidRDefault="00941E60" w:rsidP="00941E60">
      <w:pPr>
        <w:pStyle w:val="a3"/>
        <w:spacing w:before="0" w:beforeAutospacing="0" w:after="0" w:afterAutospacing="0"/>
        <w:ind w:left="720" w:hanging="360"/>
        <w:jc w:val="both"/>
      </w:pPr>
      <w:r>
        <w:rPr>
          <w:rFonts w:ascii="Calibri" w:eastAsia="Calibri" w:hAnsi="Calibri"/>
        </w:rPr>
        <w:t>3.</w:t>
      </w:r>
      <w:r>
        <w:rPr>
          <w:rFonts w:eastAsia="Calibri"/>
          <w:sz w:val="14"/>
          <w:szCs w:val="14"/>
        </w:rPr>
        <w:t xml:space="preserve">       </w:t>
      </w:r>
      <w:r>
        <w:rPr>
          <w:rFonts w:ascii="Calibri" w:hAnsi="Calibri"/>
          <w:b/>
          <w:bCs/>
        </w:rPr>
        <w:t>Запасы сырой нефти в хранилищах США</w:t>
      </w:r>
      <w:r>
        <w:rPr>
          <w:rFonts w:ascii="Calibri" w:hAnsi="Calibri"/>
        </w:rPr>
        <w:t xml:space="preserve"> по данным </w:t>
      </w:r>
      <w:proofErr w:type="spellStart"/>
      <w:r>
        <w:rPr>
          <w:rFonts w:ascii="Calibri" w:hAnsi="Calibri"/>
        </w:rPr>
        <w:t>МинЭнерго</w:t>
      </w:r>
      <w:proofErr w:type="spellEnd"/>
      <w:r>
        <w:rPr>
          <w:rFonts w:ascii="Calibri" w:hAnsi="Calibri"/>
        </w:rPr>
        <w:t xml:space="preserve"> традиционно для этого времени года продолжат плавное снижение. Мы ожидаем очередного уменьшения итогового значения как минимум на 6.5 </w:t>
      </w:r>
      <w:proofErr w:type="spellStart"/>
      <w:proofErr w:type="gramStart"/>
      <w:r>
        <w:rPr>
          <w:rFonts w:ascii="Calibri" w:hAnsi="Calibri"/>
        </w:rPr>
        <w:t>млн</w:t>
      </w:r>
      <w:proofErr w:type="spellEnd"/>
      <w:proofErr w:type="gramEnd"/>
      <w:r>
        <w:rPr>
          <w:rFonts w:ascii="Calibri" w:hAnsi="Calibri"/>
        </w:rPr>
        <w:t xml:space="preserve"> баррелей, что должно поддержать нефтяные котировки на рыке.</w:t>
      </w:r>
    </w:p>
    <w:p w:rsidR="00941E60" w:rsidRDefault="00941E60" w:rsidP="00941E60">
      <w:pPr>
        <w:pStyle w:val="a3"/>
        <w:spacing w:before="0" w:beforeAutospacing="0" w:after="0" w:afterAutospacing="0"/>
        <w:ind w:left="720" w:hanging="360"/>
        <w:jc w:val="both"/>
      </w:pPr>
      <w:r>
        <w:rPr>
          <w:rFonts w:ascii="Calibri" w:eastAsia="Calibri" w:hAnsi="Calibri"/>
        </w:rPr>
        <w:t>4.</w:t>
      </w:r>
      <w:r>
        <w:rPr>
          <w:rFonts w:eastAsia="Calibri"/>
          <w:sz w:val="14"/>
          <w:szCs w:val="14"/>
        </w:rPr>
        <w:t xml:space="preserve">       </w:t>
      </w:r>
      <w:r>
        <w:rPr>
          <w:rFonts w:ascii="Calibri" w:hAnsi="Calibri"/>
        </w:rPr>
        <w:t xml:space="preserve">Что касается данных по Еврозоне, то у нас сохраняется ощущение, что общая цифра </w:t>
      </w:r>
      <w:r>
        <w:rPr>
          <w:rFonts w:ascii="Calibri" w:hAnsi="Calibri"/>
          <w:b/>
          <w:bCs/>
        </w:rPr>
        <w:t>роста инфляции</w:t>
      </w:r>
      <w:r>
        <w:rPr>
          <w:rFonts w:ascii="Calibri" w:hAnsi="Calibri"/>
        </w:rPr>
        <w:t xml:space="preserve"> – так же, как и </w:t>
      </w:r>
      <w:r>
        <w:rPr>
          <w:rFonts w:ascii="Calibri" w:hAnsi="Calibri"/>
          <w:b/>
          <w:bCs/>
        </w:rPr>
        <w:t>данные о розничных продажах</w:t>
      </w:r>
      <w:r>
        <w:rPr>
          <w:rFonts w:ascii="Calibri" w:hAnsi="Calibri"/>
        </w:rPr>
        <w:t xml:space="preserve"> (в т.ч. и в Германии) – окажутся несколько хуже прогнозов рынка.</w:t>
      </w:r>
    </w:p>
    <w:p w:rsidR="0051349D" w:rsidRDefault="0051349D"/>
    <w:sectPr w:rsidR="0051349D" w:rsidSect="00513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E60"/>
    <w:rsid w:val="0051349D"/>
    <w:rsid w:val="00941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60"/>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E6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32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Company>FINAM</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Danglichaninov</dc:creator>
  <cp:keywords/>
  <dc:description/>
  <cp:lastModifiedBy>Danglichaninov</cp:lastModifiedBy>
  <cp:revision>2</cp:revision>
  <dcterms:created xsi:type="dcterms:W3CDTF">2011-11-28T15:20:00Z</dcterms:created>
  <dcterms:modified xsi:type="dcterms:W3CDTF">2011-11-28T15:20:00Z</dcterms:modified>
</cp:coreProperties>
</file>