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27" w:rsidRDefault="00A66327" w:rsidP="00A6632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Итоги недели. Продолжение мощного роста</w:t>
      </w:r>
    </w:p>
    <w:p w:rsidR="00A66327" w:rsidRDefault="00A66327" w:rsidP="00A66327">
      <w:pPr>
        <w:rPr>
          <w:color w:val="000000"/>
          <w:sz w:val="20"/>
          <w:szCs w:val="20"/>
        </w:rPr>
      </w:pPr>
    </w:p>
    <w:p w:rsidR="00A66327" w:rsidRDefault="00A66327" w:rsidP="00A6632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прошедшей неделе был продолжен бурный рост октября. Причем после заседания саммита Евросоюза он стал принимать все более сюрреалистичные оттенки. </w:t>
      </w:r>
      <w:proofErr w:type="gramStart"/>
      <w:r>
        <w:rPr>
          <w:sz w:val="20"/>
          <w:szCs w:val="20"/>
        </w:rPr>
        <w:t>При том</w:t>
      </w:r>
      <w:proofErr w:type="gramEnd"/>
      <w:r>
        <w:rPr>
          <w:sz w:val="20"/>
          <w:szCs w:val="20"/>
        </w:rPr>
        <w:t xml:space="preserve">, что на указанном саммите было по существу принято решение об управляемом дефолте Греции. Частные инвесторы потеряют 50% вложений. Видимо рынки воодушевил уход затянувшейся ноющей проблемы. Финансовая система Старого Света показала некоторую устойчивость к серьезным испытаниям и показала скептикам, что ее еще рано хоронить. Кроме того, росту на </w:t>
      </w:r>
      <w:proofErr w:type="gramStart"/>
      <w:r>
        <w:rPr>
          <w:sz w:val="20"/>
          <w:szCs w:val="20"/>
        </w:rPr>
        <w:t>рынках</w:t>
      </w:r>
      <w:proofErr w:type="gramEnd"/>
      <w:r>
        <w:rPr>
          <w:sz w:val="20"/>
          <w:szCs w:val="20"/>
        </w:rPr>
        <w:t xml:space="preserve"> способствовал запах новых денег - принятые решения сулят стабилизацию, уход острых проблем и прилив новой ликвидности. </w:t>
      </w:r>
    </w:p>
    <w:p w:rsidR="00A66327" w:rsidRDefault="00A66327" w:rsidP="00A66327">
      <w:pPr>
        <w:jc w:val="both"/>
        <w:rPr>
          <w:sz w:val="20"/>
          <w:szCs w:val="20"/>
        </w:rPr>
      </w:pPr>
    </w:p>
    <w:p w:rsidR="00A66327" w:rsidRDefault="00A66327" w:rsidP="00A6632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Во-первых, Греция сможет получить до 100 млрд. евро финансовой поддержки от ЕС и МВФ в рамках второго плана реструктуризации долгов. Во-вторых, было принято решение значительно увеличить размеры европейского стабилизационного </w:t>
      </w:r>
      <w:proofErr w:type="gramStart"/>
      <w:r>
        <w:rPr>
          <w:sz w:val="20"/>
          <w:szCs w:val="20"/>
        </w:rPr>
        <w:t>фонда</w:t>
      </w:r>
      <w:proofErr w:type="gramEnd"/>
      <w:r>
        <w:rPr>
          <w:sz w:val="20"/>
          <w:szCs w:val="20"/>
        </w:rPr>
        <w:t xml:space="preserve"> по крайней мере до 1 трлн. евро. И </w:t>
      </w:r>
      <w:proofErr w:type="gramStart"/>
      <w:r>
        <w:rPr>
          <w:sz w:val="20"/>
          <w:szCs w:val="20"/>
        </w:rPr>
        <w:t>наконец</w:t>
      </w:r>
      <w:proofErr w:type="gramEnd"/>
      <w:r>
        <w:rPr>
          <w:sz w:val="20"/>
          <w:szCs w:val="20"/>
        </w:rPr>
        <w:t xml:space="preserve"> перекладывающиеся на частные банки часть долговых проблем Греции скорей всего будет означать поощрение льготных механизмов кредитования банков. </w:t>
      </w:r>
    </w:p>
    <w:p w:rsidR="00A66327" w:rsidRDefault="00A66327" w:rsidP="00A66327">
      <w:pPr>
        <w:jc w:val="both"/>
        <w:rPr>
          <w:sz w:val="20"/>
          <w:szCs w:val="20"/>
        </w:rPr>
      </w:pPr>
    </w:p>
    <w:p w:rsidR="00A66327" w:rsidRDefault="00A66327" w:rsidP="00A6632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Проснувшийся </w:t>
      </w:r>
      <w:proofErr w:type="gramStart"/>
      <w:r>
        <w:rPr>
          <w:sz w:val="20"/>
          <w:szCs w:val="20"/>
        </w:rPr>
        <w:t>аппетит к риску</w:t>
      </w:r>
      <w:proofErr w:type="gramEnd"/>
      <w:r>
        <w:rPr>
          <w:sz w:val="20"/>
          <w:szCs w:val="20"/>
        </w:rPr>
        <w:t xml:space="preserve"> обеспечил массовый уход из качественных активов.  Доллар сильно сдал позиции. Евро подросло до 1,42 доллара за евро. Очень сильно доллара падал по отношению к рублю. К концу недели доллар долетел до 30 рублей. По результатам саммита Евросоюза мировые фондовые рынки показали очень убедительный рост. Вместе с подрастанием цен на нефть марки </w:t>
      </w:r>
      <w:r>
        <w:rPr>
          <w:sz w:val="20"/>
          <w:szCs w:val="20"/>
          <w:lang w:val="en-US"/>
        </w:rPr>
        <w:t>Brent</w:t>
      </w:r>
      <w:r w:rsidRPr="00A6632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 109 до 112 долларов за баррель это создало хороший задел для поднятия настроения на </w:t>
      </w:r>
      <w:proofErr w:type="gramStart"/>
      <w:r>
        <w:rPr>
          <w:sz w:val="20"/>
          <w:szCs w:val="20"/>
        </w:rPr>
        <w:t>нашем</w:t>
      </w:r>
      <w:proofErr w:type="gramEnd"/>
      <w:r>
        <w:rPr>
          <w:sz w:val="20"/>
          <w:szCs w:val="20"/>
        </w:rPr>
        <w:t xml:space="preserve"> рынке. К завершению недели индекс РТС прибавлял более 10%. Сложилось стойкое ощущение, что на финальных стадиях происходили закрытия инвесторов по неосмотрительности имевших крупные короткие позиции. </w:t>
      </w:r>
    </w:p>
    <w:p w:rsidR="00A66327" w:rsidRDefault="00A66327" w:rsidP="00A66327">
      <w:pPr>
        <w:jc w:val="both"/>
        <w:rPr>
          <w:sz w:val="20"/>
          <w:szCs w:val="20"/>
        </w:rPr>
      </w:pPr>
    </w:p>
    <w:p w:rsidR="00A66327" w:rsidRDefault="00A66327" w:rsidP="00A6632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Особенно порадовал рост цен акций Газпрома, происходивший на </w:t>
      </w:r>
      <w:proofErr w:type="gramStart"/>
      <w:r>
        <w:rPr>
          <w:sz w:val="20"/>
          <w:szCs w:val="20"/>
        </w:rPr>
        <w:t>фоне</w:t>
      </w:r>
      <w:proofErr w:type="gramEnd"/>
      <w:r>
        <w:rPr>
          <w:sz w:val="20"/>
          <w:szCs w:val="20"/>
        </w:rPr>
        <w:t xml:space="preserve"> обсуждения планов компании по двукратному увеличению дивидендных выплат. Такой рост дивидендов и приближение дивидендных доходностей к уровням доходности денежного рынка стал бы хорошим аргументом для долгосрочного приобретения акций.  По итогам недели хорошо прибавили акции Роснефти, представившей добротный финансовый отчет  (рост выручки на 50% и рост добычи нефти 2,7%). Еще лучше выглядели акции Транснефти, которая на прошедшей неделе запустила участок магистрального трубопровода, который будет наполнять нефтью ВСТО. Было еще много интересного на рынке акций. </w:t>
      </w:r>
    </w:p>
    <w:p w:rsidR="00A66327" w:rsidRDefault="00A66327" w:rsidP="00A66327">
      <w:pPr>
        <w:jc w:val="both"/>
        <w:rPr>
          <w:color w:val="000000"/>
          <w:sz w:val="20"/>
          <w:szCs w:val="20"/>
        </w:rPr>
      </w:pPr>
    </w:p>
    <w:p w:rsidR="00A66327" w:rsidRDefault="00A66327" w:rsidP="00A66327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К завершению недели рост начал показывать признаки насыщения и во второй половине пятницы завершился небольшой коррекцией цен. </w:t>
      </w:r>
      <w:r>
        <w:rPr>
          <w:sz w:val="20"/>
          <w:szCs w:val="20"/>
        </w:rPr>
        <w:t>И коррекция последнего дня недели не испортила общего благоприятного впечатления от продолжившегося мощного подскока, который сильно изменил представление о более вероятных сценариях дальнейшего поведения рынка.  </w:t>
      </w:r>
    </w:p>
    <w:p w:rsidR="00A66327" w:rsidRDefault="00A66327" w:rsidP="00A66327">
      <w:pPr>
        <w:jc w:val="both"/>
        <w:rPr>
          <w:color w:val="000000"/>
          <w:sz w:val="20"/>
          <w:szCs w:val="20"/>
        </w:rPr>
      </w:pPr>
    </w:p>
    <w:p w:rsidR="00A66327" w:rsidRDefault="00A66327" w:rsidP="00A66327">
      <w:pPr>
        <w:jc w:val="both"/>
        <w:rPr>
          <w:color w:val="000000"/>
          <w:sz w:val="20"/>
          <w:szCs w:val="20"/>
        </w:rPr>
      </w:pPr>
    </w:p>
    <w:p w:rsidR="00A66327" w:rsidRDefault="00A66327" w:rsidP="00A66327">
      <w:pPr>
        <w:jc w:val="both"/>
        <w:rPr>
          <w:color w:val="000000"/>
          <w:sz w:val="20"/>
          <w:szCs w:val="20"/>
        </w:rPr>
      </w:pPr>
    </w:p>
    <w:p w:rsidR="00A66327" w:rsidRDefault="00A66327" w:rsidP="00A66327">
      <w:pPr>
        <w:jc w:val="both"/>
        <w:rPr>
          <w:color w:val="000000"/>
          <w:sz w:val="20"/>
          <w:szCs w:val="20"/>
        </w:rPr>
      </w:pPr>
    </w:p>
    <w:tbl>
      <w:tblPr>
        <w:tblW w:w="6424" w:type="dxa"/>
        <w:tblInd w:w="100" w:type="dxa"/>
        <w:tblCellMar>
          <w:left w:w="0" w:type="dxa"/>
          <w:right w:w="0" w:type="dxa"/>
        </w:tblCellMar>
        <w:tblLook w:val="04A0"/>
      </w:tblPr>
      <w:tblGrid>
        <w:gridCol w:w="2085"/>
        <w:gridCol w:w="901"/>
        <w:gridCol w:w="985"/>
        <w:gridCol w:w="985"/>
        <w:gridCol w:w="755"/>
        <w:gridCol w:w="713"/>
      </w:tblGrid>
      <w:tr w:rsidR="00A66327" w:rsidTr="00A66327">
        <w:trPr>
          <w:trHeight w:val="255"/>
        </w:trPr>
        <w:tc>
          <w:tcPr>
            <w:tcW w:w="2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Результаты торгов на ММВБ за неделю</w:t>
            </w:r>
          </w:p>
        </w:tc>
        <w:tc>
          <w:tcPr>
            <w:tcW w:w="18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цен, %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66327" w:rsidTr="00A66327">
        <w:trPr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327" w:rsidRDefault="00A663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327" w:rsidRDefault="00A66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неделю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327" w:rsidRDefault="00A663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</w:t>
            </w:r>
            <w:proofErr w:type="spellEnd"/>
            <w:r>
              <w:rPr>
                <w:sz w:val="20"/>
                <w:szCs w:val="20"/>
              </w:rPr>
              <w:t xml:space="preserve"> 30/12/10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327" w:rsidRDefault="00A663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Кап-ция</w:t>
            </w:r>
            <w:proofErr w:type="spellEnd"/>
            <w:r>
              <w:rPr>
                <w:sz w:val="20"/>
                <w:szCs w:val="20"/>
              </w:rPr>
              <w:t>., млн $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327" w:rsidRDefault="00A66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327" w:rsidRDefault="00A66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P/E</w:t>
            </w:r>
          </w:p>
        </w:tc>
      </w:tr>
      <w:tr w:rsidR="00A66327" w:rsidTr="00A66327">
        <w:trPr>
          <w:trHeight w:val="630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Весь рынок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6,4%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-8,8%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693 762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7,3</w:t>
            </w:r>
          </w:p>
        </w:tc>
      </w:tr>
      <w:tr w:rsidR="00A66327" w:rsidTr="00A66327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Нефтегазовый сектор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8,2%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-0,1%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385 384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5,2</w:t>
            </w:r>
          </w:p>
        </w:tc>
      </w:tr>
      <w:tr w:rsidR="00A66327" w:rsidTr="00A66327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3,1%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-29,4%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65 055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13,5</w:t>
            </w:r>
          </w:p>
        </w:tc>
      </w:tr>
      <w:tr w:rsidR="00A66327" w:rsidTr="00A66327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Банки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5,7%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-20,4%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89 444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11,2</w:t>
            </w:r>
          </w:p>
        </w:tc>
      </w:tr>
      <w:tr w:rsidR="00A66327" w:rsidTr="00A66327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Металлы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1,2%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-20,5%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97 913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20,2</w:t>
            </w:r>
          </w:p>
        </w:tc>
      </w:tr>
      <w:tr w:rsidR="00A66327" w:rsidTr="00A66327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Телекомы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3,4%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-17,9%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17 455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12,0</w:t>
            </w:r>
          </w:p>
        </w:tc>
      </w:tr>
      <w:tr w:rsidR="00A66327" w:rsidTr="00A66327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10,4%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0,1%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38 509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21,6</w:t>
            </w:r>
          </w:p>
        </w:tc>
      </w:tr>
      <w:tr w:rsidR="00A66327" w:rsidTr="00A66327">
        <w:trPr>
          <w:trHeight w:val="255"/>
        </w:trPr>
        <w:tc>
          <w:tcPr>
            <w:tcW w:w="642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6327" w:rsidRDefault="00A66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Средние по рынку получены с учетом веса капитализации сектора в рынке </w:t>
            </w:r>
          </w:p>
        </w:tc>
      </w:tr>
    </w:tbl>
    <w:p w:rsidR="00A66327" w:rsidRDefault="00A66327" w:rsidP="00A66327">
      <w:pPr>
        <w:rPr>
          <w:rFonts w:ascii="Arial" w:hAnsi="Arial" w:cs="Arial"/>
          <w:sz w:val="20"/>
          <w:szCs w:val="20"/>
        </w:rPr>
      </w:pPr>
    </w:p>
    <w:p w:rsidR="00A66327" w:rsidRDefault="00A66327" w:rsidP="00A66327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С уважением,</w:t>
      </w:r>
    </w:p>
    <w:p w:rsidR="00A66327" w:rsidRDefault="00A66327" w:rsidP="00A66327">
      <w:r>
        <w:rPr>
          <w:rFonts w:ascii="Arial" w:hAnsi="Arial" w:cs="Arial"/>
          <w:sz w:val="20"/>
          <w:szCs w:val="20"/>
        </w:rPr>
        <w:t xml:space="preserve">Начальник аналитического отдела </w:t>
      </w:r>
    </w:p>
    <w:p w:rsidR="00A66327" w:rsidRDefault="00A66327" w:rsidP="00A66327">
      <w:r>
        <w:rPr>
          <w:rFonts w:ascii="Arial" w:hAnsi="Arial" w:cs="Arial"/>
          <w:sz w:val="20"/>
          <w:szCs w:val="20"/>
        </w:rPr>
        <w:t>ИК "Церих Кэпитал Менеджмент"</w:t>
      </w:r>
    </w:p>
    <w:p w:rsidR="00A66327" w:rsidRDefault="00A66327" w:rsidP="00A66327">
      <w:smartTag w:uri="urn:schemas-microsoft-com:office:smarttags" w:element="PersonName">
        <w:smartTagPr>
          <w:attr w:name="ProductID" w:val="Николай Подлевских"/>
        </w:smartTagPr>
        <w:r>
          <w:rPr>
            <w:rFonts w:ascii="Arial" w:hAnsi="Arial" w:cs="Arial"/>
            <w:sz w:val="20"/>
            <w:szCs w:val="20"/>
          </w:rPr>
          <w:t>Николай Подлевских</w:t>
        </w:r>
      </w:smartTag>
    </w:p>
    <w:p w:rsidR="001B788C" w:rsidRPr="00A66327" w:rsidRDefault="001B788C" w:rsidP="00A66327"/>
    <w:sectPr w:rsidR="001B788C" w:rsidRPr="00A66327" w:rsidSect="001B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746D5"/>
    <w:multiLevelType w:val="hybridMultilevel"/>
    <w:tmpl w:val="952A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E2C21"/>
    <w:multiLevelType w:val="singleLevel"/>
    <w:tmpl w:val="56F8D4B4"/>
    <w:lvl w:ilvl="0">
      <w:start w:val="1"/>
      <w:numFmt w:val="decimal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">
    <w:nsid w:val="1FE14497"/>
    <w:multiLevelType w:val="hybridMultilevel"/>
    <w:tmpl w:val="B18A7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45849"/>
    <w:multiLevelType w:val="singleLevel"/>
    <w:tmpl w:val="82B4D1A0"/>
    <w:lvl w:ilvl="0">
      <w:start w:val="1"/>
      <w:numFmt w:val="decimal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4">
    <w:nsid w:val="4EFD0CD3"/>
    <w:multiLevelType w:val="singleLevel"/>
    <w:tmpl w:val="4F34E232"/>
    <w:lvl w:ilvl="0">
      <w:start w:val="3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5">
    <w:nsid w:val="5A5F4A3B"/>
    <w:multiLevelType w:val="singleLevel"/>
    <w:tmpl w:val="DF928FAC"/>
    <w:lvl w:ilvl="0">
      <w:start w:val="5"/>
      <w:numFmt w:val="decimal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D6204"/>
    <w:rsid w:val="001B788C"/>
    <w:rsid w:val="00291C5B"/>
    <w:rsid w:val="003816E8"/>
    <w:rsid w:val="00821AD7"/>
    <w:rsid w:val="00913F26"/>
    <w:rsid w:val="00962381"/>
    <w:rsid w:val="00A66327"/>
    <w:rsid w:val="00B43671"/>
    <w:rsid w:val="00B71992"/>
    <w:rsid w:val="00F2107B"/>
    <w:rsid w:val="00F75E78"/>
    <w:rsid w:val="00FD16B8"/>
    <w:rsid w:val="00FD6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204"/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next w:val="a"/>
    <w:uiPriority w:val="1"/>
    <w:qFormat/>
    <w:rsid w:val="00962381"/>
    <w:pPr>
      <w:spacing w:before="120" w:after="120" w:line="240" w:lineRule="auto"/>
      <w:jc w:val="both"/>
    </w:pPr>
    <w:rPr>
      <w:rFonts w:ascii="Times New Roman" w:hAnsi="Times New Roman" w:cs="Times New Roman"/>
      <w:color w:val="000000"/>
      <w:sz w:val="24"/>
      <w:szCs w:val="18"/>
      <w:lang w:eastAsia="ru-RU"/>
    </w:rPr>
  </w:style>
  <w:style w:type="paragraph" w:styleId="a4">
    <w:name w:val="List Paragraph"/>
    <w:aliases w:val="Мой"/>
    <w:basedOn w:val="a"/>
    <w:uiPriority w:val="34"/>
    <w:qFormat/>
    <w:rsid w:val="00962381"/>
    <w:pPr>
      <w:spacing w:before="120" w:after="120" w:line="240" w:lineRule="auto"/>
      <w:contextualSpacing/>
      <w:jc w:val="both"/>
    </w:pPr>
    <w:rPr>
      <w:rFonts w:ascii="Times New Roman" w:hAnsi="Times New Roman"/>
      <w:color w:val="000000"/>
      <w:sz w:val="24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962381"/>
    <w:pPr>
      <w:spacing w:after="120"/>
    </w:pPr>
    <w:rPr>
      <w:rFonts w:asciiTheme="minorHAnsi" w:hAnsiTheme="minorHAnsi" w:cstheme="minorBidi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962381"/>
  </w:style>
  <w:style w:type="paragraph" w:styleId="a7">
    <w:name w:val="Normal (Web)"/>
    <w:basedOn w:val="a"/>
    <w:uiPriority w:val="99"/>
    <w:unhideWhenUsed/>
    <w:rsid w:val="00FD16B8"/>
    <w:pPr>
      <w:spacing w:before="150"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basedOn w:val="a"/>
    <w:rsid w:val="00FD16B8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FD16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FD16B8"/>
    <w:rPr>
      <w:rFonts w:ascii="Consolas" w:hAnsi="Consolas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ovoronina</dc:creator>
  <cp:keywords/>
  <dc:description/>
  <cp:lastModifiedBy>ovoronina</cp:lastModifiedBy>
  <cp:revision>2</cp:revision>
  <dcterms:created xsi:type="dcterms:W3CDTF">2011-10-28T15:57:00Z</dcterms:created>
  <dcterms:modified xsi:type="dcterms:W3CDTF">2011-10-28T15:57:00Z</dcterms:modified>
</cp:coreProperties>
</file>