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265" w:rsidRDefault="00B90265" w:rsidP="00CA4418">
      <w:pPr>
        <w:rPr>
          <w:szCs w:val="24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6"/>
        <w:gridCol w:w="9349"/>
      </w:tblGrid>
      <w:tr w:rsidR="00B90265" w:rsidTr="00B90265">
        <w:trPr>
          <w:tblCellSpacing w:w="0" w:type="dxa"/>
        </w:trPr>
        <w:tc>
          <w:tcPr>
            <w:tcW w:w="408" w:type="dxa"/>
            <w:vAlign w:val="center"/>
            <w:hideMark/>
          </w:tcPr>
          <w:p w:rsidR="00B90265" w:rsidRDefault="00B90265">
            <w:pPr>
              <w:rPr>
                <w:rFonts w:eastAsiaTheme="minorEastAsia"/>
              </w:rPr>
            </w:pPr>
          </w:p>
        </w:tc>
        <w:tc>
          <w:tcPr>
            <w:tcW w:w="10101" w:type="dxa"/>
            <w:vAlign w:val="center"/>
            <w:hideMark/>
          </w:tcPr>
          <w:p w:rsidR="00B90265" w:rsidRDefault="00B90265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1F497D"/>
                <w:sz w:val="26"/>
                <w:szCs w:val="26"/>
              </w:rPr>
              <w:t> </w:t>
            </w:r>
            <w:r w:rsidRPr="00B90265">
              <w:rPr>
                <w:rFonts w:ascii="Arial" w:hAnsi="Arial" w:cs="Arial"/>
                <w:color w:val="1F497D"/>
                <w:sz w:val="26"/>
                <w:szCs w:val="26"/>
              </w:rPr>
              <w:drawing>
                <wp:inline distT="0" distB="0" distL="0" distR="0">
                  <wp:extent cx="5940425" cy="2178382"/>
                  <wp:effectExtent l="19050" t="0" r="3175" b="0"/>
                  <wp:docPr id="4" name="Рисунок 9" descr="cid:image001.jpg@01CE7F0D.5D522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id:image001.jpg@01CE7F0D.5D522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40425" cy="21783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8749"/>
              <w:gridCol w:w="600"/>
            </w:tblGrid>
            <w:tr w:rsidR="00B90265">
              <w:trPr>
                <w:tblCellSpacing w:w="0" w:type="dxa"/>
              </w:trPr>
              <w:tc>
                <w:tcPr>
                  <w:tcW w:w="0" w:type="auto"/>
                  <w:vAlign w:val="center"/>
                </w:tcPr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Рынок акций</w:t>
                  </w:r>
                </w:p>
                <w:p w:rsidR="00B90265" w:rsidRDefault="00B90265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 </w:t>
                  </w:r>
                </w:p>
                <w:p w:rsidR="00B90265" w:rsidRDefault="00B90265">
                  <w:pPr>
                    <w:spacing w:after="24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1" name="Рисунок 1" descr="cid:image002.jpg@01CE7D8D.1A6B3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id:image002.jpg@01CE7D8D.1A6B3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Владимир Брагин,</w:t>
                  </w: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директор по анализу финансовых рынков</w:t>
                  </w: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br/>
                    <w:t>и макроэкономики УК «Альфа-Капитал»</w:t>
                  </w: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color w:val="1F497D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Для глобального рынка акций неделя выдалась довольно неплохой. Данные по экономике США, а также отчетности компаний в очередной раз указали на продолжение восстановления экономики и преждевременность опасений прохождения экономикой пика делового цикла, как можно было судить по данным за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I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квартал. Индексы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PMI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еврозоны вышли лучше ожиданий, свидетельствуя об улучшении деловой активности в регионе. Наконец и Китай смог порадовать </w:t>
                  </w:r>
                  <w:proofErr w:type="spellStart"/>
                  <w:r>
                    <w:rPr>
                      <w:rFonts w:ascii="Arial" w:hAnsi="Arial" w:cs="Arial"/>
                      <w:sz w:val="26"/>
                      <w:szCs w:val="26"/>
                    </w:rPr>
                    <w:t>макростатистикой</w:t>
                  </w:r>
                  <w:proofErr w:type="spell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, тот же индекс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PMI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оказался на уровне 52 пунктов </w:t>
                  </w: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вместо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ожидавшихся 51.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Правда, развитые рынки в целом, если судить по индексу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MSCI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World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, за неделю все-таки </w:t>
                  </w:r>
                  <w:proofErr w:type="spellStart"/>
                  <w:r>
                    <w:rPr>
                      <w:rFonts w:ascii="Arial" w:hAnsi="Arial" w:cs="Arial"/>
                      <w:sz w:val="26"/>
                      <w:szCs w:val="26"/>
                    </w:rPr>
                    <w:t>скорректировались</w:t>
                  </w:r>
                  <w:proofErr w:type="spell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на 0,4%, что, впрочем, отражает не столько негативное отношение к рынку в целом, сколько к крупнейшим американским компаниям, занимающим в нем высокую долю (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DOW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Jones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−0,8% за неделю). Развивающиеся рынки выглядели лучше: китайский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Shanghai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Composite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прибавил за неделю 3,4%, а более широкий индекс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MSCI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Emerging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Markets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вырос на 1,4%.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А вот российский рынок акций, равно как и облигаций, двигался вслед за новостными заголовками, потеряв за прошлую неделю еще 2,4% по индексу ММВБ (это после обвала на 7,4% неделей ранее). Влияние событий на Украине для нашего рынка намного сильнее фундаментальных факторов, на которые в нормальных условиях ориентируется наш рынок. Рост индексов развивающихся стран, цен на промышленные металлы, а также стабильные цены на нефть – все это временно ушло на второй план. С другой стороны, если ситуация на Украине войдет в нормальное русло, у российского рынка есть потенциал быстрого восстановления на 10−15%.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Впрочем, с учетом состояния экономики прогнозы на долгосрочные перспективы российского рынка акций пока не внушают большого оптимизма. </w:t>
                  </w:r>
                </w:p>
                <w:p w:rsidR="00B90265" w:rsidRDefault="00B90265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Рынок облигаций</w:t>
                  </w:r>
                </w:p>
                <w:p w:rsidR="00B90265" w:rsidRDefault="00B90265">
                  <w:pPr>
                    <w:spacing w:after="24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2" name="Рисунок 2" descr="cid:image004.jpg@01CE7BFE.B94C54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id:image004.jpg@01CE7BFE.B94C54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r:link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Алексей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Губин,</w:t>
                  </w:r>
                  <w:proofErr w:type="spellEnd"/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аналитик УК «Альфа-Капитал»</w:t>
                  </w:r>
                </w:p>
                <w:p w:rsidR="00B90265" w:rsidRDefault="00B90265">
                  <w:pPr>
                    <w:rPr>
                      <w:rFonts w:ascii="Arial" w:hAnsi="Arial" w:cs="Arial"/>
                      <w:color w:val="1F497D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a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Рублевые облигации</w:t>
                  </w:r>
                </w:p>
                <w:p w:rsidR="00B90265" w:rsidRDefault="00B90265">
                  <w:pPr>
                    <w:pStyle w:val="aa"/>
                    <w:rPr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Попытки отскочить вверх в середине прошлой недели не увенчались успехом. Ситуация с ликвидностью на локальном рынке остается весьма скверной, внешний новостной фон остается негативным, а под конец недели негатива подкинул ЦБ, повысивший ставки на 0,5%, ключевая ставка теперь – 8%. Свое решение ЦБ напрямую связал с внешним фоном, который через нестабильность рубля транслируется в инфляционные риски. А с учетом того, что цели по инфляции у ЦБ достаточно жесткие (4% в среднесрочной перспективе при фактической инфляции 7,8%), это стало ясным сигналом того, что ожидать снижения ставок в этом году не стоит.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Выпуск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ОФЗ 26207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на прошлой неделе потерял около 2%, его доходность достигла отметки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YTM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9,3−9,35%. При этом торговая активность наблюдается только в «первом эшелоне» и в ОФЗ. В корпоративном сегменте в какой-то момент времени появлялась активность, и участники рынка снова стали присматриваться к бумагам «второго эшелона», но последние события свели практически на нет попытки инвесторов.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Из привлекательных выпусков, на наш взгляд, стоит обратить внимание на ряд субфедеральных выпусков, которые дают доходность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YTM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10,2−10,7% и ликвидность на хорошем уровне. Примером таких облигаций можно отметить выпуски: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Липецкая Область-9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Белгородская область-8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Красноярский край-8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>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a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Еврооблигации</w:t>
                  </w:r>
                </w:p>
                <w:p w:rsidR="00B90265" w:rsidRDefault="00B90265">
                  <w:pPr>
                    <w:pStyle w:val="aa"/>
                    <w:rPr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Хотя результаты саммита ЕС будут известны на этой неделе, похоже, что европейские страны не могут не </w:t>
                  </w: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отреагировать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так или иначе на последние события. Котировки российских еврооблигаций, как и других российских активов, на прошлой неделе снижались.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Russia-30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торгуется около 113-й отметки, потеряв примерно 2 п.п. 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Ситуация вокруг Украины никак не утрясается, и непонятно дальнейшее развитие кризиса. Выпуски эмитентов, которые попали под санкции, продолжают движение вниз (облигации </w:t>
                  </w:r>
                  <w:proofErr w:type="spellStart"/>
                  <w:r>
                    <w:rPr>
                      <w:rFonts w:ascii="Arial" w:hAnsi="Arial" w:cs="Arial"/>
                      <w:sz w:val="26"/>
                      <w:szCs w:val="26"/>
                    </w:rPr>
                    <w:t>ВЭБа</w:t>
                  </w:r>
                  <w:proofErr w:type="spell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sz w:val="26"/>
                      <w:szCs w:val="26"/>
                    </w:rPr>
                    <w:t>Новатэка</w:t>
                  </w:r>
                  <w:proofErr w:type="spell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, Роснефти, </w:t>
                  </w:r>
                  <w:proofErr w:type="spellStart"/>
                  <w:r>
                    <w:rPr>
                      <w:rFonts w:ascii="Arial" w:hAnsi="Arial" w:cs="Arial"/>
                      <w:sz w:val="26"/>
                      <w:szCs w:val="26"/>
                    </w:rPr>
                    <w:t>Газпромбанка</w:t>
                  </w:r>
                  <w:proofErr w:type="spellEnd"/>
                  <w:r>
                    <w:rPr>
                      <w:rFonts w:ascii="Arial" w:hAnsi="Arial" w:cs="Arial"/>
                      <w:sz w:val="26"/>
                      <w:szCs w:val="26"/>
                    </w:rPr>
                    <w:t>). А особенно сильно пострадал сегмент госбанков. Длинные выпуски ВТБ, Сбербанка, РСХБ под конец прошлой недели потеряли примерно 3%. Банки «второго эшелона» потеряли 1−1,5%.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На всем этом фоне из российских ценных бумаг нам нравятся короткий выпуск ТМК, а также облигации компании Борец с погашением в 2018 году. Первая компания – это производитель труб, спрос на которые будет поддерживать выполнение недавнего контракта с Китаем, а вторая – производитель оборудования для нефтедобычи.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Рынок сырьевых товаров</w:t>
                  </w:r>
                </w:p>
                <w:p w:rsidR="00B90265" w:rsidRDefault="00B90265">
                  <w:pPr>
                    <w:spacing w:after="240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noProof/>
                      <w:sz w:val="26"/>
                      <w:szCs w:val="26"/>
                      <w:lang w:eastAsia="ru-RU"/>
                    </w:rPr>
                    <w:drawing>
                      <wp:inline distT="0" distB="0" distL="0" distR="0">
                        <wp:extent cx="1190625" cy="1190625"/>
                        <wp:effectExtent l="19050" t="0" r="9525" b="0"/>
                        <wp:docPr id="3" name="Рисунок 3" descr="cid:image002.jpg@01CE7D8D.1A6B3F6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id:image002.jpg@01CE7D8D.1A6B3F6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r:link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90625" cy="11906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B90265" w:rsidRDefault="00B90265">
                  <w:pPr>
                    <w:spacing w:after="240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Владимир Брагин</w:t>
                  </w: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FF0000"/>
                      <w:sz w:val="26"/>
                      <w:szCs w:val="26"/>
                    </w:rPr>
                    <w:t>директор по анализу финансовых рынков и макроэкономики УК «Альфа-Капитал»</w:t>
                  </w:r>
                </w:p>
                <w:p w:rsidR="00B90265" w:rsidRDefault="00B90265">
                  <w:pPr>
                    <w:rPr>
                      <w:rFonts w:ascii="Arial" w:hAnsi="Arial" w:cs="Arial"/>
                      <w:color w:val="1F497D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a"/>
                    <w:rPr>
                      <w:sz w:val="26"/>
                      <w:szCs w:val="26"/>
                    </w:rPr>
                  </w:pPr>
                  <w:r>
                    <w:rPr>
                      <w:sz w:val="26"/>
                      <w:szCs w:val="26"/>
                    </w:rPr>
                    <w:t>События и комментарии</w:t>
                  </w:r>
                </w:p>
                <w:p w:rsidR="00B90265" w:rsidRDefault="00B90265">
                  <w:pPr>
                    <w:pStyle w:val="aa"/>
                    <w:rPr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 xml:space="preserve">На рынке нефти наблюдается стабилизация, цены на нефть марки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Brent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находятся в диапазоне 107−108 долл. за баррель. Из последней статистики стоит отметить стабильное сокращение запасов нефти за прошедшую неделю на 3,97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млн</w:t>
                  </w:r>
                  <w:proofErr w:type="spellEnd"/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баррелей, что ниже прогнозного значения – 2,79 млн.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На рынке промышленных металлов значимым событием были предварительные данные по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PMI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Китая от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HSBC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, который составил 52 пункта, что было выше ожиданий рынка 51 пункт. На хороших новостях из Китая индекс металлов </w:t>
                  </w:r>
                  <w:r>
                    <w:rPr>
                      <w:rFonts w:ascii="Arial" w:hAnsi="Arial" w:cs="Arial"/>
                      <w:sz w:val="26"/>
                      <w:szCs w:val="26"/>
                      <w:lang w:val="en-US"/>
                    </w:rPr>
                    <w:t>LME</w:t>
                  </w:r>
                  <w:r w:rsidRPr="00B90265">
                    <w:rPr>
                      <w:rFonts w:ascii="Arial" w:hAnsi="Arial" w:cs="Arial"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вырос на 2,1%, а на рынке </w:t>
                  </w:r>
                  <w:proofErr w:type="gramStart"/>
                  <w:r>
                    <w:rPr>
                      <w:rFonts w:ascii="Arial" w:hAnsi="Arial" w:cs="Arial"/>
                      <w:sz w:val="26"/>
                      <w:szCs w:val="26"/>
                    </w:rPr>
                    <w:t>меди</w:t>
                  </w:r>
                  <w:proofErr w:type="gramEnd"/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 наконец завершилась коррекция.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 xml:space="preserve">Рынок золота негативно воспринял новости из Китая и США. Улучшение экономической ситуации в Китае и хорошие корпоративные отчеты американских компаний снижают привлекательность золота как защитного актива. Кроме того, по последним данным, спрос на золотые слитки в Китае за первое полугодие снизился на 62%, а на золотые монеты – на 44%, что говорит о снижении инвестиционной привлекательности металла. 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t>Наиболее интересным металлом является палладий, который стабильно растет и является защитным инструментом от санкций в отношении России. Хотя бы по причине того, что Россия на рынке этого металла является одним из ключевых игроков.</w:t>
                  </w:r>
                </w:p>
                <w:p w:rsidR="00B90265" w:rsidRDefault="00B90265">
                  <w:pPr>
                    <w:pStyle w:val="a8"/>
                    <w:rPr>
                      <w:rFonts w:ascii="Arial" w:hAnsi="Arial" w:cs="Arial"/>
                      <w:sz w:val="26"/>
                      <w:szCs w:val="26"/>
                    </w:rPr>
                  </w:pPr>
                </w:p>
                <w:p w:rsidR="00B90265" w:rsidRDefault="00B90265">
                  <w:pPr>
                    <w:pStyle w:val="a8"/>
                    <w:spacing w:before="0"/>
                    <w:rPr>
                      <w:rFonts w:ascii="Arial" w:hAnsi="Arial" w:cs="Arial"/>
                      <w:color w:val="1F497D"/>
                      <w:sz w:val="26"/>
                      <w:szCs w:val="26"/>
                    </w:rPr>
                  </w:pPr>
                </w:p>
              </w:tc>
              <w:tc>
                <w:tcPr>
                  <w:tcW w:w="600" w:type="dxa"/>
                  <w:vAlign w:val="center"/>
                  <w:hideMark/>
                </w:tcPr>
                <w:p w:rsidR="00B90265" w:rsidRDefault="00B90265">
                  <w:pPr>
                    <w:rPr>
                      <w:rFonts w:ascii="Arial" w:hAnsi="Arial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sz w:val="26"/>
                      <w:szCs w:val="26"/>
                    </w:rPr>
                    <w:lastRenderedPageBreak/>
                    <w:t> </w:t>
                  </w:r>
                </w:p>
              </w:tc>
            </w:tr>
          </w:tbl>
          <w:p w:rsidR="00B90265" w:rsidRDefault="00B90265">
            <w:pPr>
              <w:rPr>
                <w:rFonts w:eastAsiaTheme="minorEastAsia"/>
              </w:rPr>
            </w:pPr>
          </w:p>
        </w:tc>
      </w:tr>
    </w:tbl>
    <w:p w:rsidR="00BD529F" w:rsidRPr="00CA4418" w:rsidRDefault="00BD529F" w:rsidP="00CA4418">
      <w:pPr>
        <w:rPr>
          <w:szCs w:val="24"/>
        </w:rPr>
      </w:pPr>
    </w:p>
    <w:sectPr w:rsidR="00BD529F" w:rsidRPr="00CA4418" w:rsidSect="00876A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5AFD"/>
    <w:rsid w:val="00040D8F"/>
    <w:rsid w:val="00045728"/>
    <w:rsid w:val="000A5F96"/>
    <w:rsid w:val="00490DBD"/>
    <w:rsid w:val="00876A21"/>
    <w:rsid w:val="008E0B24"/>
    <w:rsid w:val="00A42A4A"/>
    <w:rsid w:val="00A5005C"/>
    <w:rsid w:val="00A851C5"/>
    <w:rsid w:val="00B90265"/>
    <w:rsid w:val="00BC6547"/>
    <w:rsid w:val="00BC7971"/>
    <w:rsid w:val="00BD529F"/>
    <w:rsid w:val="00C56F72"/>
    <w:rsid w:val="00CA4418"/>
    <w:rsid w:val="00E8734D"/>
    <w:rsid w:val="00F75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AFD"/>
    <w:pPr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F75AFD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75AF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F75A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75AFD"/>
    <w:rPr>
      <w:rFonts w:ascii="Times New Roman" w:hAnsi="Times New Roman" w:cs="Times New Roman"/>
      <w:b/>
      <w:bCs/>
      <w:color w:val="000000"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75AFD"/>
  </w:style>
  <w:style w:type="paragraph" w:styleId="a5">
    <w:name w:val="Balloon Text"/>
    <w:basedOn w:val="a"/>
    <w:link w:val="a6"/>
    <w:uiPriority w:val="99"/>
    <w:semiHidden/>
    <w:unhideWhenUsed/>
    <w:rsid w:val="00B9026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90265"/>
    <w:rPr>
      <w:rFonts w:ascii="Tahoma" w:hAnsi="Tahoma" w:cs="Tahoma"/>
      <w:sz w:val="16"/>
      <w:szCs w:val="16"/>
    </w:rPr>
  </w:style>
  <w:style w:type="character" w:customStyle="1" w:styleId="a7">
    <w:name w:val="А Текст Знак"/>
    <w:basedOn w:val="a0"/>
    <w:link w:val="a8"/>
    <w:locked/>
    <w:rsid w:val="00B90265"/>
    <w:rPr>
      <w:rFonts w:ascii="Arial Narrow" w:hAnsi="Arial Narrow"/>
    </w:rPr>
  </w:style>
  <w:style w:type="paragraph" w:customStyle="1" w:styleId="a8">
    <w:name w:val="А Текст"/>
    <w:basedOn w:val="a"/>
    <w:link w:val="a7"/>
    <w:rsid w:val="00B90265"/>
    <w:pPr>
      <w:spacing w:before="80"/>
      <w:jc w:val="both"/>
    </w:pPr>
    <w:rPr>
      <w:rFonts w:ascii="Arial Narrow" w:hAnsi="Arial Narrow"/>
    </w:rPr>
  </w:style>
  <w:style w:type="character" w:customStyle="1" w:styleId="a9">
    <w:name w:val="А_ПОДЗАГОЛОВОК Знак"/>
    <w:basedOn w:val="a0"/>
    <w:link w:val="aa"/>
    <w:locked/>
    <w:rsid w:val="00B90265"/>
    <w:rPr>
      <w:rFonts w:ascii="Arial" w:hAnsi="Arial" w:cs="Arial"/>
      <w:b/>
      <w:bCs/>
      <w:color w:val="FF0000"/>
    </w:rPr>
  </w:style>
  <w:style w:type="paragraph" w:customStyle="1" w:styleId="aa">
    <w:name w:val="А_ПОДЗАГОЛОВОК"/>
    <w:basedOn w:val="a"/>
    <w:link w:val="a9"/>
    <w:rsid w:val="00B90265"/>
    <w:rPr>
      <w:rFonts w:ascii="Arial" w:hAnsi="Arial" w:cs="Arial"/>
      <w:b/>
      <w:bCs/>
      <w:color w:val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78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2.jpg@01CFAA85.F24A46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cid:image001.jpg@01CFAA85.F24A468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cid:image003.jpg@01CFAA85.F24A468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F8CB36-2DE3-439F-9C86-9FE5FD921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539</Words>
  <Characters>5024</Characters>
  <Application>Microsoft Office Word</Application>
  <DocSecurity>0</DocSecurity>
  <Lines>152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vsevryugina</dc:creator>
  <cp:lastModifiedBy>vsevryugina</cp:lastModifiedBy>
  <cp:revision>2</cp:revision>
  <dcterms:created xsi:type="dcterms:W3CDTF">2014-07-28T08:02:00Z</dcterms:created>
  <dcterms:modified xsi:type="dcterms:W3CDTF">2014-07-28T13:24:00Z</dcterms:modified>
</cp:coreProperties>
</file>