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7A" w:rsidRDefault="00331F7A" w:rsidP="00331F7A">
      <w:pPr>
        <w:ind w:firstLine="567"/>
        <w:jc w:val="both"/>
        <w:rPr>
          <w:lang w:val="en-US"/>
        </w:rPr>
      </w:pPr>
    </w:p>
    <w:p w:rsidR="00331F7A" w:rsidRPr="00331F7A" w:rsidRDefault="00331F7A" w:rsidP="00331F7A">
      <w:pPr>
        <w:ind w:firstLine="567"/>
        <w:jc w:val="both"/>
        <w:rPr>
          <w:i/>
        </w:rPr>
      </w:pPr>
      <w:r w:rsidRPr="00331F7A">
        <w:rPr>
          <w:i/>
        </w:rPr>
        <w:t xml:space="preserve">Владимир </w:t>
      </w:r>
      <w:proofErr w:type="spellStart"/>
      <w:r w:rsidRPr="00331F7A">
        <w:rPr>
          <w:i/>
        </w:rPr>
        <w:t>Рожанковск</w:t>
      </w:r>
      <w:r w:rsidRPr="00331F7A">
        <w:rPr>
          <w:i/>
        </w:rPr>
        <w:t>ий</w:t>
      </w:r>
      <w:proofErr w:type="spellEnd"/>
      <w:r w:rsidRPr="00331F7A">
        <w:rPr>
          <w:i/>
        </w:rPr>
        <w:t>, директор аналитического департамента</w:t>
      </w:r>
      <w:r w:rsidRPr="00331F7A">
        <w:rPr>
          <w:i/>
        </w:rPr>
        <w:t xml:space="preserve"> ИГ «Норд-Капитал»</w:t>
      </w:r>
    </w:p>
    <w:p w:rsidR="00331F7A" w:rsidRPr="00331F7A" w:rsidRDefault="00331F7A" w:rsidP="00331F7A">
      <w:pPr>
        <w:ind w:firstLine="567"/>
        <w:jc w:val="both"/>
      </w:pPr>
    </w:p>
    <w:p w:rsidR="00331F7A" w:rsidRPr="00331F7A" w:rsidRDefault="003E6471" w:rsidP="00331F7A">
      <w:pPr>
        <w:ind w:firstLine="567"/>
        <w:jc w:val="both"/>
        <w:rPr>
          <w:b/>
        </w:rPr>
      </w:pPr>
      <w:r>
        <w:rPr>
          <w:b/>
        </w:rPr>
        <w:t>«</w:t>
      </w:r>
      <w:r w:rsidR="00331F7A" w:rsidRPr="00331F7A">
        <w:rPr>
          <w:b/>
        </w:rPr>
        <w:t>Медные трубы</w:t>
      </w:r>
      <w:r>
        <w:rPr>
          <w:b/>
        </w:rPr>
        <w:t>»</w:t>
      </w:r>
      <w:r w:rsidR="00331F7A" w:rsidRPr="00331F7A">
        <w:rPr>
          <w:b/>
        </w:rPr>
        <w:t xml:space="preserve"> и </w:t>
      </w:r>
      <w:r>
        <w:rPr>
          <w:b/>
        </w:rPr>
        <w:t>«</w:t>
      </w:r>
      <w:r w:rsidR="00331F7A" w:rsidRPr="00331F7A">
        <w:rPr>
          <w:b/>
        </w:rPr>
        <w:t>стойкие оловянные солдатики</w:t>
      </w:r>
      <w:r>
        <w:rPr>
          <w:b/>
        </w:rPr>
        <w:t>»</w:t>
      </w:r>
      <w:r w:rsidR="00331F7A" w:rsidRPr="00331F7A">
        <w:rPr>
          <w:b/>
        </w:rPr>
        <w:t xml:space="preserve"> помогут в ожидании сеанса «Большого кино» </w:t>
      </w:r>
    </w:p>
    <w:p w:rsidR="00331F7A" w:rsidRPr="00331F7A" w:rsidRDefault="00331F7A" w:rsidP="00331F7A">
      <w:pPr>
        <w:ind w:firstLine="567"/>
        <w:jc w:val="both"/>
        <w:rPr>
          <w:b/>
        </w:rPr>
      </w:pPr>
      <w:r w:rsidRPr="00331F7A">
        <w:rPr>
          <w:b/>
        </w:rPr>
        <w:t>Основные дальнейшие сценарии</w:t>
      </w:r>
    </w:p>
    <w:p w:rsidR="00331F7A" w:rsidRDefault="00331F7A" w:rsidP="00331F7A">
      <w:pPr>
        <w:ind w:firstLine="567"/>
        <w:jc w:val="both"/>
      </w:pPr>
      <w:r>
        <w:t>Давно забытое, а потому для многих совершенно неожиданное фондовое ралли, которое началось во второй половине прошедшей недели, на самом деле, имело свои первоисточники. На протяжении пары недель мы чересчур хладнокровно наблюдали за укреплением рубля, который за это время успел вырасти на целый рубль к доллару. Повторение прошлогоднего сценария укрепления российской валюты на фоне почти полной индифферентности фондового рынка по мере энергичного роста цен на нефть (причём, обоих ключевых сортов сразу!) выглядело всё менее реалистичным. Игнорирование инвесторами столь мощного, «традиционно российского», разогревающего фактора не могло продолжаться бесконечно.</w:t>
      </w:r>
    </w:p>
    <w:p w:rsidR="00331F7A" w:rsidRDefault="00331F7A" w:rsidP="00331F7A">
      <w:pPr>
        <w:ind w:firstLine="567"/>
        <w:jc w:val="both"/>
      </w:pPr>
      <w:r>
        <w:t xml:space="preserve">Мы ожидаем на текущей неделе продолжения восходящего тренда в российских акциях, поскольку события в Иране приняли явно затяжной характер, и быстрого решения вопроса, который смог бы так же молниеносно опустить нефть на десяток долларов вниз, как возникновение соответствующей проблемы – оказалось в состоянии вырвать её выше всевозможных линий сопротивления – не ожидается. Тем не менее, не стоит забывать, что по итогам января ЦБ РФ и МЭР зарегистрировали очередной отток капитала в объёме (разные оценки варьируются) от $11 до $17 </w:t>
      </w:r>
      <w:proofErr w:type="spellStart"/>
      <w:proofErr w:type="gramStart"/>
      <w:r>
        <w:t>млрд</w:t>
      </w:r>
      <w:proofErr w:type="spellEnd"/>
      <w:proofErr w:type="gramEnd"/>
      <w:r>
        <w:t>, что очень много для столь непродолжительного периода времени. Короче говоря, для открытия более уверенных среднесрочных длинных позиций в российских акциях крайне необходимо дождаться хотя бы приблизительных данных по движению внешнего капитала в феврале, без притока которого российские индексы будут просто барахтаться на низких объёмах, рискуя «свернуть себе шею» при «первом же дуновении ветерка».</w:t>
      </w:r>
    </w:p>
    <w:p w:rsidR="00331F7A" w:rsidRDefault="00331F7A" w:rsidP="00331F7A">
      <w:pPr>
        <w:ind w:firstLine="567"/>
        <w:jc w:val="both"/>
      </w:pPr>
      <w:r>
        <w:t xml:space="preserve">ЦБ РФ, похоже, перенял положительный пример с ЕЦБ в плане выработки собственной стратегии поведения, способствующей борьбе с рыночными спекулянтами и, как и в случае с его европейским «коллегой», первые усилия по сдерживанию рублёвой ликвидности оказались удачной идеей. Покупки валюты, которые доминировали во второй половине прошлого года, давали её обладателям широкое поле её применения, оставляя российские ценные бумаги всех категорий и мастей по сути невостребованными. Теперь же, поскольку банки аккумулируют на своих балансах более дефицитные рубли, </w:t>
      </w:r>
      <w:proofErr w:type="gramStart"/>
      <w:r>
        <w:t>у</w:t>
      </w:r>
      <w:proofErr w:type="gramEnd"/>
      <w:r>
        <w:t xml:space="preserve"> последних возникло естественное притяжение к российским финансовым инструментам. Фундамент был создан, и теперь, похоже, настал черёд строительства «первого цикла». Едва ли президентские выборы 4 марта смогут серьёзным образом повлиять на этот процесс, ибо декларативно ненавистный для Запада «сценарий их итогов по умолчанию» вовсе не выглядит (в отличие от той же Греции с её смутной преемственностью власти и обещаний!) финансово-политической катастрофой.</w:t>
      </w:r>
    </w:p>
    <w:p w:rsidR="00331F7A" w:rsidRDefault="00331F7A" w:rsidP="00331F7A">
      <w:pPr>
        <w:ind w:firstLine="567"/>
        <w:jc w:val="both"/>
      </w:pPr>
      <w:r>
        <w:t xml:space="preserve">Пока мы ждём более уверенных сигналов на среднесрочную покупку в акциях, наше внимание не могут обойти процессы зарождающихся ралли в некоторых сырьевых товарах – в частности, меди и олове. С одной стороны, </w:t>
      </w:r>
      <w:proofErr w:type="spellStart"/>
      <w:r>
        <w:t>апсайды</w:t>
      </w:r>
      <w:proofErr w:type="spellEnd"/>
      <w:r>
        <w:t xml:space="preserve"> там более ограниченные, с другой – риск внезапного «опрокидывания» рынков – минимален.</w:t>
      </w:r>
    </w:p>
    <w:p w:rsidR="00331F7A" w:rsidRDefault="00331F7A" w:rsidP="00331F7A">
      <w:pPr>
        <w:ind w:firstLine="567"/>
        <w:jc w:val="both"/>
      </w:pPr>
    </w:p>
    <w:p w:rsidR="00331F7A" w:rsidRPr="00331F7A" w:rsidRDefault="00331F7A" w:rsidP="00331F7A">
      <w:pPr>
        <w:ind w:firstLine="567"/>
        <w:jc w:val="both"/>
        <w:rPr>
          <w:b/>
        </w:rPr>
      </w:pPr>
      <w:r w:rsidRPr="00331F7A">
        <w:rPr>
          <w:b/>
        </w:rPr>
        <w:t>Календарь событий</w:t>
      </w:r>
    </w:p>
    <w:p w:rsidR="00331F7A" w:rsidRDefault="00331F7A" w:rsidP="00331F7A">
      <w:pPr>
        <w:ind w:firstLine="567"/>
        <w:jc w:val="both"/>
      </w:pPr>
      <w:r>
        <w:t xml:space="preserve">Как и на прошлой неделе, в центре внимания инвесторов будут отнюдь не макроэкономические и даже не корпоративные новости, а вести с Саммита G-20 в Мехико, где решаются очень важные монетарные вопросы, которые указывают на степень </w:t>
      </w:r>
      <w:proofErr w:type="spellStart"/>
      <w:r>
        <w:t>общерыночного</w:t>
      </w:r>
      <w:proofErr w:type="spellEnd"/>
      <w:r>
        <w:t xml:space="preserve"> риска, в которой будут вести свои операции банки и </w:t>
      </w:r>
      <w:proofErr w:type="spellStart"/>
      <w:r>
        <w:t>инвестфонды</w:t>
      </w:r>
      <w:proofErr w:type="spellEnd"/>
      <w:r>
        <w:t xml:space="preserve"> в ближайшие полгода. Так, просьба МВФ о </w:t>
      </w:r>
      <w:proofErr w:type="spellStart"/>
      <w:r>
        <w:t>докапитализации</w:t>
      </w:r>
      <w:proofErr w:type="spellEnd"/>
      <w:r>
        <w:t xml:space="preserve"> в размере $500 </w:t>
      </w:r>
      <w:proofErr w:type="spellStart"/>
      <w:proofErr w:type="gramStart"/>
      <w:r>
        <w:t>млрд</w:t>
      </w:r>
      <w:proofErr w:type="spellEnd"/>
      <w:proofErr w:type="gramEnd"/>
      <w:r>
        <w:t xml:space="preserve"> была, по последним данным, отклонена, т.к. представители стран "Большой Двадцатки" посчитали, что самая насущная проблема сейчас - это адресная помощь странам-участницам Еврозоны.</w:t>
      </w:r>
    </w:p>
    <w:p w:rsidR="00331F7A" w:rsidRDefault="00331F7A" w:rsidP="00331F7A">
      <w:pPr>
        <w:ind w:firstLine="567"/>
        <w:jc w:val="both"/>
      </w:pPr>
      <w:r>
        <w:t>Очевидно, в фокусе внимания, будет оставаться накаляющаяся риторика между Белым Домом и г</w:t>
      </w:r>
      <w:r w:rsidR="00152DA0">
        <w:t xml:space="preserve">лавой Ирана </w:t>
      </w:r>
      <w:proofErr w:type="spellStart"/>
      <w:r w:rsidR="00152DA0">
        <w:t>Махмудом</w:t>
      </w:r>
      <w:proofErr w:type="spellEnd"/>
      <w:r w:rsidR="00152DA0">
        <w:t xml:space="preserve"> </w:t>
      </w:r>
      <w:proofErr w:type="spellStart"/>
      <w:r w:rsidR="00152DA0">
        <w:t>Ахмадинежад</w:t>
      </w:r>
      <w:r>
        <w:t>ом</w:t>
      </w:r>
      <w:proofErr w:type="spellEnd"/>
      <w:r>
        <w:t>. Мы не склонны драматизировать текущие события и предсказывать какие-либо драматические сценарии уже на этой неделе, однако не стоит забывать, что сохраняющаяся политическая напряжённость будет продолжать способствовать установлению перманентно-высоких цен на нефть.</w:t>
      </w:r>
    </w:p>
    <w:p w:rsidR="00331F7A" w:rsidRDefault="00331F7A" w:rsidP="00331F7A">
      <w:pPr>
        <w:ind w:firstLine="567"/>
        <w:jc w:val="both"/>
      </w:pPr>
      <w:r>
        <w:t xml:space="preserve">Из наиболее значимых </w:t>
      </w:r>
      <w:proofErr w:type="spellStart"/>
      <w:r>
        <w:t>макростатистических</w:t>
      </w:r>
      <w:proofErr w:type="spellEnd"/>
      <w:r>
        <w:t xml:space="preserve"> данных на этой неделе - уточненное значение роста ВВП США за 4 кв. прошлого года, котор</w:t>
      </w:r>
      <w:r w:rsidR="00152DA0">
        <w:t>ое</w:t>
      </w:r>
      <w:r>
        <w:t xml:space="preserve"> будет опубликован</w:t>
      </w:r>
      <w:r w:rsidR="00152DA0">
        <w:t>о</w:t>
      </w:r>
      <w:r>
        <w:t xml:space="preserve"> 29 февраля. Мы полагаем, что, поскольку предварительная цифра выглядела заведомо завышенной, велика вероятность крайне неприятного сюрприза, который может послужить триггером серьёзной, но непродолжительной просадки фондовых рынков.</w:t>
      </w:r>
    </w:p>
    <w:p w:rsidR="00331F7A" w:rsidRDefault="00331F7A" w:rsidP="00331F7A">
      <w:pPr>
        <w:ind w:firstLine="567"/>
        <w:jc w:val="both"/>
      </w:pPr>
      <w:r>
        <w:t>Как всегда, мы будем внимательно следить за динамикой запасов сырой нефти от Мин</w:t>
      </w:r>
      <w:r w:rsidR="003E6471">
        <w:t>э</w:t>
      </w:r>
      <w:r>
        <w:t xml:space="preserve">нерго США. В прошлый раз, вопреки нашим прогнозам, они неожиданно повысились, однако это не помогло цене на WTI </w:t>
      </w:r>
      <w:proofErr w:type="spellStart"/>
      <w:r>
        <w:t>скорректироваться</w:t>
      </w:r>
      <w:proofErr w:type="spellEnd"/>
      <w:r>
        <w:t xml:space="preserve"> вниз. На этот раз мы ожидаем их снижения в пределах 1 </w:t>
      </w:r>
      <w:proofErr w:type="spellStart"/>
      <w:proofErr w:type="gramStart"/>
      <w:r>
        <w:t>млн</w:t>
      </w:r>
      <w:proofErr w:type="spellEnd"/>
      <w:proofErr w:type="gramEnd"/>
      <w:r>
        <w:t xml:space="preserve"> баррелей, что придаст дополнительный импульс североамериканской смеси.</w:t>
      </w:r>
    </w:p>
    <w:p w:rsidR="00331F7A" w:rsidRPr="003E6471" w:rsidRDefault="00331F7A" w:rsidP="00331F7A">
      <w:pPr>
        <w:ind w:firstLine="567"/>
        <w:jc w:val="both"/>
      </w:pPr>
      <w:r>
        <w:t xml:space="preserve">Наконец, производственный индекс PMI в Еврозоне - ещё один верстовой столб, который трудно объехать стороной. Если экономика этого региона будет снижаться слишком быстрыми темпами из-за мер по ужесточению фискальной дисциплины стран-участниц, не исключено, что ЕЦБ </w:t>
      </w:r>
      <w:proofErr w:type="gramStart"/>
      <w:r>
        <w:t>вынужден</w:t>
      </w:r>
      <w:proofErr w:type="gramEnd"/>
      <w:r>
        <w:t xml:space="preserve"> будет на следующем заседании прибегнуть к понижению ключевой процент</w:t>
      </w:r>
      <w:r w:rsidR="003E6471">
        <w:t>н</w:t>
      </w:r>
      <w:r>
        <w:t>ой ставки. Данные выйдут 1 марта.</w:t>
      </w:r>
    </w:p>
    <w:sectPr w:rsidR="00331F7A" w:rsidRPr="003E6471" w:rsidSect="00316787">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40" w:rsidRDefault="00903B40" w:rsidP="00D569FC">
      <w:pPr>
        <w:spacing w:after="0" w:line="240" w:lineRule="auto"/>
      </w:pPr>
      <w:r>
        <w:separator/>
      </w:r>
    </w:p>
  </w:endnote>
  <w:endnote w:type="continuationSeparator" w:id="0">
    <w:p w:rsidR="00903B40" w:rsidRDefault="00903B40" w:rsidP="00D56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0735"/>
      <w:docPartObj>
        <w:docPartGallery w:val="Page Numbers (Bottom of Page)"/>
        <w:docPartUnique/>
      </w:docPartObj>
    </w:sdtPr>
    <w:sdtContent>
      <w:p w:rsidR="00D569FC" w:rsidRDefault="00D569FC">
        <w:pPr>
          <w:pStyle w:val="a5"/>
          <w:jc w:val="right"/>
        </w:pPr>
        <w:fldSimple w:instr=" PAGE   \* MERGEFORMAT ">
          <w:r w:rsidR="003E6471">
            <w:rPr>
              <w:noProof/>
            </w:rPr>
            <w:t>1</w:t>
          </w:r>
        </w:fldSimple>
      </w:p>
    </w:sdtContent>
  </w:sdt>
  <w:p w:rsidR="00D569FC" w:rsidRDefault="00D569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40" w:rsidRDefault="00903B40" w:rsidP="00D569FC">
      <w:pPr>
        <w:spacing w:after="0" w:line="240" w:lineRule="auto"/>
      </w:pPr>
      <w:r>
        <w:separator/>
      </w:r>
    </w:p>
  </w:footnote>
  <w:footnote w:type="continuationSeparator" w:id="0">
    <w:p w:rsidR="00903B40" w:rsidRDefault="00903B40" w:rsidP="00D569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1F7A"/>
    <w:rsid w:val="00152DA0"/>
    <w:rsid w:val="00316787"/>
    <w:rsid w:val="00331F7A"/>
    <w:rsid w:val="003E6471"/>
    <w:rsid w:val="00903B40"/>
    <w:rsid w:val="00D56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69F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569FC"/>
  </w:style>
  <w:style w:type="paragraph" w:styleId="a5">
    <w:name w:val="footer"/>
    <w:basedOn w:val="a"/>
    <w:link w:val="a6"/>
    <w:uiPriority w:val="99"/>
    <w:unhideWhenUsed/>
    <w:rsid w:val="00D569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69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3</cp:revision>
  <dcterms:created xsi:type="dcterms:W3CDTF">2012-02-27T09:18:00Z</dcterms:created>
  <dcterms:modified xsi:type="dcterms:W3CDTF">2012-02-27T09:37:00Z</dcterms:modified>
</cp:coreProperties>
</file>