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7E" w:rsidRPr="00FB2DC2" w:rsidRDefault="00125D7E" w:rsidP="00125D7E">
      <w:pPr>
        <w:rPr>
          <w:rFonts w:ascii="Palatino Linotype" w:hAnsi="Palatino Linotype"/>
          <w:lang w:val="ru-RU"/>
        </w:rPr>
      </w:pPr>
    </w:p>
    <w:p w:rsidR="00181778" w:rsidRPr="00B621E2" w:rsidRDefault="00181778" w:rsidP="00181778">
      <w:pPr>
        <w:jc w:val="center"/>
        <w:rPr>
          <w:rFonts w:ascii="Palatino Linotype" w:hAnsi="Palatino Linotype" w:cs="Arial"/>
          <w:b/>
          <w:sz w:val="22"/>
          <w:szCs w:val="22"/>
          <w:lang w:val="ru-RU"/>
        </w:rPr>
      </w:pPr>
      <w:bookmarkStart w:id="0" w:name="_GoBack"/>
      <w:r w:rsidRPr="00B621E2">
        <w:rPr>
          <w:rFonts w:ascii="Palatino Linotype" w:hAnsi="Palatino Linotype" w:cs="Arial"/>
          <w:b/>
          <w:sz w:val="22"/>
          <w:szCs w:val="22"/>
        </w:rPr>
        <w:t>GHP</w:t>
      </w:r>
      <w:r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 </w:t>
      </w:r>
      <w:r w:rsidR="001F3693" w:rsidRPr="00B621E2">
        <w:rPr>
          <w:rFonts w:ascii="Palatino Linotype" w:hAnsi="Palatino Linotype" w:cs="Arial"/>
          <w:b/>
          <w:sz w:val="22"/>
          <w:szCs w:val="22"/>
        </w:rPr>
        <w:t>Group</w:t>
      </w:r>
      <w:r w:rsidRPr="00B621E2">
        <w:rPr>
          <w:rFonts w:ascii="Palatino Linotype" w:hAnsi="Palatino Linotype" w:cs="Arial"/>
          <w:b/>
          <w:sz w:val="22"/>
          <w:szCs w:val="22"/>
          <w:lang w:val="ru-RU"/>
        </w:rPr>
        <w:t>: Взгляд управляющего</w:t>
      </w:r>
    </w:p>
    <w:p w:rsidR="00181778" w:rsidRDefault="00181778" w:rsidP="00181778">
      <w:pPr>
        <w:jc w:val="center"/>
        <w:rPr>
          <w:rFonts w:ascii="Palatino Linotype" w:hAnsi="Palatino Linotype" w:cs="Arial"/>
          <w:b/>
          <w:sz w:val="22"/>
          <w:szCs w:val="22"/>
          <w:lang w:val="ru-RU"/>
        </w:rPr>
      </w:pPr>
    </w:p>
    <w:p w:rsidR="00181778" w:rsidRPr="00057838" w:rsidRDefault="00057838" w:rsidP="00181778">
      <w:pPr>
        <w:rPr>
          <w:rFonts w:ascii="Palatino Linotype" w:hAnsi="Palatino Linotype" w:cs="Arial"/>
          <w:b/>
          <w:sz w:val="22"/>
          <w:szCs w:val="22"/>
        </w:rPr>
      </w:pPr>
      <w:r w:rsidRPr="00057838">
        <w:rPr>
          <w:rFonts w:ascii="Palatino Linotype" w:hAnsi="Palatino Linotype" w:cs="Arial"/>
          <w:b/>
          <w:sz w:val="22"/>
          <w:szCs w:val="22"/>
          <w:lang w:val="ru-RU"/>
        </w:rPr>
        <w:t>27</w:t>
      </w:r>
      <w:r>
        <w:rPr>
          <w:rFonts w:ascii="Palatino Linotype" w:hAnsi="Palatino Linotype" w:cs="Arial"/>
          <w:b/>
          <w:sz w:val="22"/>
          <w:szCs w:val="22"/>
          <w:lang w:val="ru-RU"/>
        </w:rPr>
        <w:t>.</w:t>
      </w:r>
      <w:r>
        <w:rPr>
          <w:rFonts w:ascii="Palatino Linotype" w:hAnsi="Palatino Linotype" w:cs="Arial"/>
          <w:b/>
          <w:sz w:val="22"/>
          <w:szCs w:val="22"/>
        </w:rPr>
        <w:t>01</w:t>
      </w:r>
      <w:r w:rsidR="003C4DF6">
        <w:rPr>
          <w:rFonts w:ascii="Palatino Linotype" w:hAnsi="Palatino Linotype" w:cs="Arial"/>
          <w:b/>
          <w:sz w:val="22"/>
          <w:szCs w:val="22"/>
          <w:lang w:val="ru-RU"/>
        </w:rPr>
        <w:t>.201</w:t>
      </w:r>
      <w:r>
        <w:rPr>
          <w:rFonts w:ascii="Palatino Linotype" w:hAnsi="Palatino Linotype" w:cs="Arial"/>
          <w:b/>
          <w:sz w:val="22"/>
          <w:szCs w:val="22"/>
        </w:rPr>
        <w:t>5</w:t>
      </w:r>
    </w:p>
    <w:p w:rsidR="00181778" w:rsidRPr="00B621E2" w:rsidRDefault="00181778" w:rsidP="00181778">
      <w:pPr>
        <w:rPr>
          <w:rFonts w:ascii="Palatino Linotype" w:hAnsi="Palatino Linotype" w:cs="Arial"/>
          <w:b/>
          <w:sz w:val="22"/>
          <w:szCs w:val="22"/>
          <w:lang w:val="ru-RU"/>
        </w:rPr>
      </w:pPr>
    </w:p>
    <w:p w:rsidR="00181778" w:rsidRPr="00B621E2" w:rsidRDefault="007A6483" w:rsidP="00181778">
      <w:pPr>
        <w:rPr>
          <w:rFonts w:ascii="Palatino Linotype" w:hAnsi="Palatino Linotype" w:cs="Arial"/>
          <w:b/>
          <w:sz w:val="22"/>
          <w:szCs w:val="22"/>
          <w:lang w:val="ru-RU"/>
        </w:rPr>
      </w:pPr>
      <w:r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Александр </w:t>
      </w:r>
      <w:proofErr w:type="spellStart"/>
      <w:r w:rsidRPr="00B621E2">
        <w:rPr>
          <w:rFonts w:ascii="Palatino Linotype" w:hAnsi="Palatino Linotype" w:cs="Arial"/>
          <w:b/>
          <w:sz w:val="22"/>
          <w:szCs w:val="22"/>
          <w:lang w:val="ru-RU"/>
        </w:rPr>
        <w:t>Черноморов</w:t>
      </w:r>
      <w:proofErr w:type="spellEnd"/>
      <w:r w:rsidR="00181778"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, </w:t>
      </w:r>
      <w:r w:rsidR="002618BB" w:rsidRPr="00B621E2">
        <w:rPr>
          <w:rFonts w:ascii="Palatino Linotype" w:hAnsi="Palatino Linotype" w:cs="Arial"/>
          <w:b/>
          <w:sz w:val="22"/>
          <w:szCs w:val="22"/>
          <w:lang w:val="ru-RU"/>
        </w:rPr>
        <w:t>старший портфельный управляющий</w:t>
      </w:r>
      <w:r w:rsidR="00181778"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 </w:t>
      </w:r>
      <w:r w:rsidR="00181778" w:rsidRPr="00B621E2">
        <w:rPr>
          <w:rFonts w:ascii="Palatino Linotype" w:hAnsi="Palatino Linotype" w:cs="Arial"/>
          <w:b/>
          <w:sz w:val="22"/>
          <w:szCs w:val="22"/>
        </w:rPr>
        <w:t>GHP</w:t>
      </w:r>
      <w:r w:rsidR="00181778"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 </w:t>
      </w:r>
      <w:r w:rsidR="001F3693" w:rsidRPr="00B621E2">
        <w:rPr>
          <w:rFonts w:ascii="Palatino Linotype" w:hAnsi="Palatino Linotype" w:cs="Arial"/>
          <w:b/>
          <w:sz w:val="22"/>
          <w:szCs w:val="22"/>
        </w:rPr>
        <w:t>Group</w:t>
      </w:r>
    </w:p>
    <w:p w:rsidR="00181778" w:rsidRPr="00DD1D95" w:rsidRDefault="00181778" w:rsidP="00DD1D95">
      <w:pPr>
        <w:jc w:val="both"/>
        <w:rPr>
          <w:rFonts w:ascii="Palatino Linotype" w:hAnsi="Palatino Linotype"/>
          <w:i/>
          <w:lang w:val="ru-RU"/>
        </w:rPr>
      </w:pPr>
    </w:p>
    <w:p w:rsidR="00057838" w:rsidRDefault="00057838" w:rsidP="00057838">
      <w:pPr>
        <w:pStyle w:val="PlainText"/>
        <w:jc w:val="both"/>
        <w:rPr>
          <w:rFonts w:ascii="Palatino Linotype" w:hAnsi="Palatino Linotype"/>
          <w:lang w:val="en-US"/>
        </w:rPr>
      </w:pPr>
      <w:r w:rsidRPr="00057838">
        <w:rPr>
          <w:rFonts w:ascii="Palatino Linotype" w:hAnsi="Palatino Linotype"/>
        </w:rPr>
        <w:t xml:space="preserve">Значимым событием для российского рынка на прошлой неделе стало приобретение франко-американской компанией </w:t>
      </w:r>
      <w:r w:rsidRPr="00057838">
        <w:rPr>
          <w:rFonts w:ascii="Palatino Linotype" w:hAnsi="Palatino Linotype"/>
          <w:lang w:val="en-US"/>
        </w:rPr>
        <w:t>Schlumberger</w:t>
      </w:r>
      <w:r w:rsidRPr="00057838">
        <w:rPr>
          <w:rFonts w:ascii="Palatino Linotype" w:hAnsi="Palatino Linotype"/>
        </w:rPr>
        <w:t xml:space="preserve"> 45,6% акций </w:t>
      </w:r>
      <w:r w:rsidRPr="00057838">
        <w:rPr>
          <w:rFonts w:ascii="Palatino Linotype" w:hAnsi="Palatino Linotype"/>
          <w:lang w:val="en-US"/>
        </w:rPr>
        <w:t>Eurasia</w:t>
      </w:r>
      <w:r w:rsidRPr="00057838">
        <w:rPr>
          <w:rFonts w:ascii="Palatino Linotype" w:hAnsi="Palatino Linotype"/>
        </w:rPr>
        <w:t xml:space="preserve"> </w:t>
      </w:r>
      <w:r w:rsidRPr="00057838">
        <w:rPr>
          <w:rFonts w:ascii="Palatino Linotype" w:hAnsi="Palatino Linotype"/>
          <w:lang w:val="en-US"/>
        </w:rPr>
        <w:t>Drilling</w:t>
      </w:r>
      <w:r w:rsidRPr="00057838">
        <w:rPr>
          <w:rFonts w:ascii="Palatino Linotype" w:hAnsi="Palatino Linotype"/>
        </w:rPr>
        <w:t xml:space="preserve"> </w:t>
      </w:r>
      <w:r w:rsidRPr="00057838">
        <w:rPr>
          <w:rFonts w:ascii="Palatino Linotype" w:hAnsi="Palatino Linotype"/>
          <w:lang w:val="en-US"/>
        </w:rPr>
        <w:t>Company</w:t>
      </w:r>
      <w:r w:rsidRPr="00057838">
        <w:rPr>
          <w:rFonts w:ascii="Palatino Linotype" w:hAnsi="Palatino Linotype"/>
        </w:rPr>
        <w:t xml:space="preserve"> (доля российского рынка буровых работ около 30%). Это является несколько неожиданным, учитывая конфронтацию Запада и России. </w:t>
      </w:r>
    </w:p>
    <w:p w:rsidR="00057838" w:rsidRDefault="00057838" w:rsidP="00057838">
      <w:pPr>
        <w:pStyle w:val="PlainText"/>
        <w:jc w:val="both"/>
        <w:rPr>
          <w:rFonts w:ascii="Palatino Linotype" w:hAnsi="Palatino Linotype"/>
          <w:lang w:val="en-US"/>
        </w:rPr>
      </w:pPr>
    </w:p>
    <w:p w:rsidR="00057838" w:rsidRPr="00057838" w:rsidRDefault="00057838" w:rsidP="00057838">
      <w:pPr>
        <w:pStyle w:val="PlainText"/>
        <w:jc w:val="both"/>
        <w:rPr>
          <w:rFonts w:ascii="Palatino Linotype" w:hAnsi="Palatino Linotype"/>
        </w:rPr>
      </w:pPr>
      <w:r w:rsidRPr="00057838">
        <w:rPr>
          <w:rFonts w:ascii="Palatino Linotype" w:hAnsi="Palatino Linotype"/>
        </w:rPr>
        <w:t>В целом, за прошлую неделю российский рынок прибавил 5% на нейтральном новостном фоне с Украины и на принятии количественного смягчения в Европе. Однако начало текущей недели началось менее оптимистично после событий в Мариуполе, которые нивелировали часть роста. Инвесторы сейчас находятся в сомнениях по поводу дальнейшего движения рынка, поэтому любая прибыль сразу же фиксируется. На рынке остались только стойкие инвесторы, способные удержаться на “американских горках”, хотя сами американцы этот аттр</w:t>
      </w:r>
      <w:r>
        <w:rPr>
          <w:rFonts w:ascii="Palatino Linotype" w:hAnsi="Palatino Linotype"/>
        </w:rPr>
        <w:t>акцион называют “русские горки”</w:t>
      </w:r>
      <w:r w:rsidRPr="00057838">
        <w:rPr>
          <w:rFonts w:ascii="Palatino Linotype" w:hAnsi="Palatino Linotype"/>
        </w:rPr>
        <w:t xml:space="preserve"> и</w:t>
      </w:r>
      <w:r>
        <w:rPr>
          <w:rFonts w:ascii="Palatino Linotype" w:hAnsi="Palatino Linotype"/>
        </w:rPr>
        <w:t>,</w:t>
      </w:r>
      <w:r w:rsidRPr="00057838">
        <w:rPr>
          <w:rFonts w:ascii="Palatino Linotype" w:hAnsi="Palatino Linotype"/>
        </w:rPr>
        <w:t xml:space="preserve"> наверное</w:t>
      </w:r>
      <w:r>
        <w:rPr>
          <w:rFonts w:ascii="Palatino Linotype" w:hAnsi="Palatino Linotype"/>
        </w:rPr>
        <w:t>,</w:t>
      </w:r>
      <w:r w:rsidRPr="00057838">
        <w:rPr>
          <w:rFonts w:ascii="Palatino Linotype" w:hAnsi="Palatino Linotype"/>
        </w:rPr>
        <w:t xml:space="preserve"> это более точное определение, так как российский рынок уже давно имеет свою специфику. Рублевые индексы, экспортеры чувствуют себя достаточно комфортно на фоне, например, бразильского индекса </w:t>
      </w:r>
      <w:proofErr w:type="spellStart"/>
      <w:r w:rsidRPr="00057838">
        <w:rPr>
          <w:rFonts w:ascii="Palatino Linotype" w:hAnsi="Palatino Linotype"/>
          <w:lang w:val="en-US"/>
        </w:rPr>
        <w:t>Bovespa</w:t>
      </w:r>
      <w:proofErr w:type="spellEnd"/>
      <w:r w:rsidRPr="00057838">
        <w:rPr>
          <w:rFonts w:ascii="Palatino Linotype" w:hAnsi="Palatino Linotype"/>
        </w:rPr>
        <w:t>. Причина этого - девальвация. Вероятность банкротства сырьевых компаний в этих условиях довольно мала, поэтому основные инвестиционные идеи в ближайшее время будут связаны с ними.</w:t>
      </w:r>
    </w:p>
    <w:p w:rsidR="00057838" w:rsidRPr="00057838" w:rsidRDefault="00057838" w:rsidP="00057838">
      <w:pPr>
        <w:pStyle w:val="PlainText"/>
        <w:jc w:val="both"/>
        <w:rPr>
          <w:rFonts w:ascii="Palatino Linotype" w:hAnsi="Palatino Linotype"/>
        </w:rPr>
      </w:pPr>
    </w:p>
    <w:p w:rsidR="00057838" w:rsidRPr="00057838" w:rsidRDefault="00057838" w:rsidP="00057838">
      <w:pPr>
        <w:pStyle w:val="PlainText"/>
        <w:jc w:val="both"/>
        <w:rPr>
          <w:rFonts w:ascii="Palatino Linotype" w:hAnsi="Palatino Linotype"/>
        </w:rPr>
      </w:pPr>
      <w:r w:rsidRPr="00057838">
        <w:rPr>
          <w:rFonts w:ascii="Palatino Linotype" w:hAnsi="Palatino Linotype"/>
        </w:rPr>
        <w:t xml:space="preserve">По итогам 4 квартала многие </w:t>
      </w:r>
      <w:proofErr w:type="spellStart"/>
      <w:r w:rsidRPr="00057838">
        <w:rPr>
          <w:rFonts w:ascii="Palatino Linotype" w:hAnsi="Palatino Linotype"/>
        </w:rPr>
        <w:t>ритейлеры</w:t>
      </w:r>
      <w:proofErr w:type="spellEnd"/>
      <w:r w:rsidRPr="00057838">
        <w:rPr>
          <w:rFonts w:ascii="Palatino Linotype" w:hAnsi="Palatino Linotype"/>
        </w:rPr>
        <w:t xml:space="preserve"> показали рекордный рост продаж. Это произошло на фоне валютной паники и, скорее, это исключение, нежели правило. Декабрь 2014 аккумулировал большую часть спроса за 2015 в одном месяце, поэтому повторение маловероятно. Потребительский спрос и быстрое восстановление сырьевых рынков в 2009 году позволили быстро восстановиться экономике. Мы ожидаем снижение потребительского спроса в 2015 году, что негативно отразится на бизнесе большинства ритейл-компаний.</w:t>
      </w:r>
    </w:p>
    <w:p w:rsidR="00057838" w:rsidRPr="00057838" w:rsidRDefault="00057838" w:rsidP="00057838">
      <w:pPr>
        <w:pStyle w:val="PlainText"/>
        <w:jc w:val="both"/>
        <w:rPr>
          <w:rFonts w:ascii="Palatino Linotype" w:hAnsi="Palatino Linotype"/>
        </w:rPr>
      </w:pPr>
    </w:p>
    <w:p w:rsidR="00057838" w:rsidRPr="00057838" w:rsidRDefault="00057838" w:rsidP="00057838">
      <w:pPr>
        <w:pStyle w:val="PlainText"/>
        <w:jc w:val="both"/>
        <w:rPr>
          <w:rFonts w:ascii="Palatino Linotype" w:hAnsi="Palatino Linotype"/>
        </w:rPr>
      </w:pPr>
      <w:r w:rsidRPr="00057838">
        <w:rPr>
          <w:rFonts w:ascii="Palatino Linotype" w:hAnsi="Palatino Linotype"/>
        </w:rPr>
        <w:t>Рынок нефти уже вторую неделю торгуется в диапазоне $46-50 (</w:t>
      </w:r>
      <w:r w:rsidRPr="00057838">
        <w:rPr>
          <w:rFonts w:ascii="Palatino Linotype" w:hAnsi="Palatino Linotype"/>
          <w:lang w:val="en-US"/>
        </w:rPr>
        <w:t>Brent</w:t>
      </w:r>
      <w:r w:rsidRPr="00057838">
        <w:rPr>
          <w:rFonts w:ascii="Palatino Linotype" w:hAnsi="Palatino Linotype"/>
        </w:rPr>
        <w:t xml:space="preserve">), что позволяет сделать вывод о некой стабилизации. Снижение нефти не осталось не замеченным и в США. Буквально все компании рапортуют о снижении капитальных затрат, о снижении буровых работ, многие компании начали оптимизацию бизнеса и увольнение персонала. В середине января одна из ведущих </w:t>
      </w:r>
      <w:proofErr w:type="spellStart"/>
      <w:r w:rsidRPr="00057838">
        <w:rPr>
          <w:rFonts w:ascii="Palatino Linotype" w:hAnsi="Palatino Linotype"/>
        </w:rPr>
        <w:t>нефтесервисных</w:t>
      </w:r>
      <w:proofErr w:type="spellEnd"/>
      <w:r w:rsidRPr="00057838">
        <w:rPr>
          <w:rFonts w:ascii="Palatino Linotype" w:hAnsi="Palatino Linotype"/>
        </w:rPr>
        <w:t xml:space="preserve"> компаний </w:t>
      </w:r>
      <w:r w:rsidRPr="00057838">
        <w:rPr>
          <w:rFonts w:ascii="Palatino Linotype" w:hAnsi="Palatino Linotype"/>
          <w:lang w:val="en-US"/>
        </w:rPr>
        <w:t>Baker</w:t>
      </w:r>
      <w:r w:rsidRPr="00057838">
        <w:rPr>
          <w:rFonts w:ascii="Palatino Linotype" w:hAnsi="Palatino Linotype"/>
        </w:rPr>
        <w:t xml:space="preserve"> </w:t>
      </w:r>
      <w:r w:rsidRPr="00057838">
        <w:rPr>
          <w:rFonts w:ascii="Palatino Linotype" w:hAnsi="Palatino Linotype"/>
          <w:lang w:val="en-US"/>
        </w:rPr>
        <w:t>Hughes</w:t>
      </w:r>
      <w:r w:rsidRPr="00057838">
        <w:rPr>
          <w:rFonts w:ascii="Palatino Linotype" w:hAnsi="Palatino Linotype"/>
        </w:rPr>
        <w:t xml:space="preserve"> сообщила о падении спроса на свои услуги во всём мире. В частности, компания констатировала сокращение с октября 2014-го по январь 2015-го на 15% число работающих скважин в США.</w:t>
      </w:r>
    </w:p>
    <w:p w:rsidR="00057838" w:rsidRPr="00057838" w:rsidRDefault="00057838" w:rsidP="00057838">
      <w:pPr>
        <w:pStyle w:val="PlainText"/>
        <w:jc w:val="both"/>
        <w:rPr>
          <w:rFonts w:ascii="Palatino Linotype" w:hAnsi="Palatino Linotype"/>
        </w:rPr>
      </w:pPr>
    </w:p>
    <w:p w:rsidR="00057838" w:rsidRDefault="00057838" w:rsidP="00057838">
      <w:pPr>
        <w:pStyle w:val="PlainText"/>
        <w:jc w:val="both"/>
        <w:rPr>
          <w:rFonts w:ascii="Palatino Linotype" w:hAnsi="Palatino Linotype"/>
        </w:rPr>
      </w:pPr>
      <w:r w:rsidRPr="00057838">
        <w:rPr>
          <w:rFonts w:ascii="Palatino Linotype" w:hAnsi="Palatino Linotype"/>
        </w:rPr>
        <w:t xml:space="preserve">В ближайшей перспективе при текущих ценовых уровнях нефти нам предстоит увидеть изменение ландшафта сланцевой нефтегазовой индустрии в США. Наличие существенных долгов, падение стоимости нефти, и в перспективе рост стоимости заимствований, вынудит компании объединяться или банкротиться. К чему все это может привести? Американские компании, добывающие сланцевую нефть, достаточно мобильные. Пережить низкие цены на нефть им будет достаточно сложно, но возможно. А вот компании, добывающие нефть традиционным способом, вынуждены замораживать большие капиталоемкие проекты. Поэтому после окончания нефтяной войны у нефтяников в таких условиях могут возникнуть </w:t>
      </w:r>
      <w:r w:rsidRPr="00057838">
        <w:rPr>
          <w:rFonts w:ascii="Palatino Linotype" w:hAnsi="Palatino Linotype"/>
        </w:rPr>
        <w:lastRenderedPageBreak/>
        <w:t xml:space="preserve">проблемы с тем, чтобы достаточно быстро нарастить добычу, удовлетворить спрос. Это может привести к резкому росту стоимости нефти. Поэтому компании, добывающие сланцевую нефть, более уязвимы не ценой, а имеющейся достаточно скудной ресурсной базой, и добыча, скорее, измеряется годами,  а не десятилетиями. </w:t>
      </w:r>
    </w:p>
    <w:p w:rsidR="00057838" w:rsidRPr="00057838" w:rsidRDefault="00057838" w:rsidP="00057838">
      <w:pPr>
        <w:pStyle w:val="PlainText"/>
        <w:jc w:val="both"/>
        <w:rPr>
          <w:rFonts w:ascii="Palatino Linotype" w:hAnsi="Palatino Linotype"/>
        </w:rPr>
      </w:pPr>
    </w:p>
    <w:p w:rsidR="00057838" w:rsidRPr="00057838" w:rsidRDefault="00057838" w:rsidP="00057838">
      <w:pPr>
        <w:pStyle w:val="PlainText"/>
        <w:jc w:val="both"/>
        <w:rPr>
          <w:rFonts w:ascii="Palatino Linotype" w:hAnsi="Palatino Linotype"/>
        </w:rPr>
      </w:pPr>
      <w:r w:rsidRPr="00057838">
        <w:rPr>
          <w:rFonts w:ascii="Palatino Linotype" w:hAnsi="Palatino Linotype"/>
        </w:rPr>
        <w:t xml:space="preserve">И пока инвестиционное сообщество дискутирует о будущих ценах на нефть, ставку стоит делать на американский ритейл и инфраструктурные компании. </w:t>
      </w:r>
    </w:p>
    <w:p w:rsidR="00D03E61" w:rsidRPr="002E4242" w:rsidRDefault="00D03E61" w:rsidP="00D03E61">
      <w:pPr>
        <w:rPr>
          <w:rFonts w:ascii="Palatino Linotype" w:hAnsi="Palatino Linotype"/>
          <w:sz w:val="22"/>
          <w:szCs w:val="22"/>
          <w:lang w:val="ru-RU"/>
        </w:rPr>
      </w:pPr>
      <w:r w:rsidRPr="002E4242">
        <w:rPr>
          <w:rFonts w:ascii="Palatino Linotype" w:hAnsi="Palatino Linotype"/>
          <w:sz w:val="22"/>
          <w:szCs w:val="22"/>
        </w:rPr>
        <w:t> </w:t>
      </w:r>
      <w:r w:rsidRPr="002E4242">
        <w:rPr>
          <w:rFonts w:ascii="Palatino Linotype" w:hAnsi="Palatino Linotype"/>
          <w:sz w:val="22"/>
          <w:szCs w:val="22"/>
          <w:lang w:val="ru-RU"/>
        </w:rPr>
        <w:t xml:space="preserve"> </w:t>
      </w:r>
    </w:p>
    <w:p w:rsidR="00241EAD" w:rsidRPr="001B04B8" w:rsidRDefault="001F3693" w:rsidP="001F3693">
      <w:pPr>
        <w:spacing w:after="240"/>
        <w:rPr>
          <w:rFonts w:ascii="Palatino Linotype" w:hAnsi="Palatino Linotype"/>
          <w:lang w:val="ru-RU"/>
        </w:rPr>
      </w:pPr>
      <w:r w:rsidRPr="000C72E9">
        <w:rPr>
          <w:rFonts w:ascii="Palatino Linotype" w:hAnsi="Palatino Linotype"/>
          <w:sz w:val="20"/>
          <w:szCs w:val="20"/>
          <w:lang w:val="ru-RU"/>
        </w:rPr>
        <w:t>+7 495 411 5311</w:t>
      </w:r>
      <w:r w:rsidR="001F7D19">
        <w:rPr>
          <w:rFonts w:ascii="Palatino Linotype" w:hAnsi="Palatino Linotype"/>
          <w:sz w:val="20"/>
          <w:szCs w:val="20"/>
        </w:rPr>
        <w:t xml:space="preserve">, </w:t>
      </w:r>
      <w:hyperlink r:id="rId8" w:history="1">
        <w:r w:rsidR="000535A3" w:rsidRPr="006F3812">
          <w:rPr>
            <w:rStyle w:val="Hyperlink"/>
          </w:rPr>
          <w:t>Alexander</w:t>
        </w:r>
        <w:r w:rsidR="000535A3" w:rsidRPr="009C7724">
          <w:rPr>
            <w:rStyle w:val="Hyperlink"/>
            <w:lang w:val="ru-RU"/>
          </w:rPr>
          <w:t>.</w:t>
        </w:r>
        <w:r w:rsidR="000535A3" w:rsidRPr="006F3812">
          <w:rPr>
            <w:rStyle w:val="Hyperlink"/>
          </w:rPr>
          <w:t>Chernomorov</w:t>
        </w:r>
        <w:r w:rsidR="000535A3" w:rsidRPr="006F3812">
          <w:rPr>
            <w:rStyle w:val="Hyperlink"/>
            <w:rFonts w:ascii="Palatino Linotype" w:hAnsi="Palatino Linotype"/>
            <w:sz w:val="20"/>
            <w:szCs w:val="20"/>
            <w:lang w:val="ru-RU"/>
          </w:rPr>
          <w:t>@</w:t>
        </w:r>
        <w:proofErr w:type="spellStart"/>
        <w:r w:rsidR="000535A3" w:rsidRPr="006F3812">
          <w:rPr>
            <w:rStyle w:val="Hyperlink"/>
            <w:rFonts w:ascii="Palatino Linotype" w:hAnsi="Palatino Linotype"/>
            <w:sz w:val="20"/>
            <w:szCs w:val="20"/>
          </w:rPr>
          <w:t>ghpgroup</w:t>
        </w:r>
        <w:proofErr w:type="spellEnd"/>
        <w:r w:rsidR="000535A3" w:rsidRPr="006F3812">
          <w:rPr>
            <w:rStyle w:val="Hyperlink"/>
            <w:rFonts w:ascii="Palatino Linotype" w:hAnsi="Palatino Linotype"/>
            <w:sz w:val="20"/>
            <w:szCs w:val="20"/>
            <w:lang w:val="ru-RU"/>
          </w:rPr>
          <w:t>.</w:t>
        </w:r>
        <w:r w:rsidR="000535A3" w:rsidRPr="006F3812">
          <w:rPr>
            <w:rStyle w:val="Hyperlink"/>
            <w:rFonts w:ascii="Palatino Linotype" w:hAnsi="Palatino Linotype"/>
            <w:sz w:val="20"/>
            <w:szCs w:val="20"/>
          </w:rPr>
          <w:t>com</w:t>
        </w:r>
      </w:hyperlink>
      <w:bookmarkEnd w:id="0"/>
    </w:p>
    <w:sectPr w:rsidR="00241EAD" w:rsidRPr="001B04B8" w:rsidSect="00520C91">
      <w:headerReference w:type="default" r:id="rId9"/>
      <w:footerReference w:type="default" r:id="rId10"/>
      <w:pgSz w:w="11907" w:h="16840" w:code="9"/>
      <w:pgMar w:top="1440" w:right="851" w:bottom="1134" w:left="1134" w:header="71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A64" w:rsidRDefault="00F56A64">
      <w:r>
        <w:separator/>
      </w:r>
    </w:p>
  </w:endnote>
  <w:endnote w:type="continuationSeparator" w:id="0">
    <w:p w:rsidR="00F56A64" w:rsidRDefault="00F5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A64" w:rsidRDefault="00F56A64" w:rsidP="00DC7110"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-571500</wp:posOffset>
          </wp:positionH>
          <wp:positionV relativeFrom="paragraph">
            <wp:posOffset>-207645</wp:posOffset>
          </wp:positionV>
          <wp:extent cx="7200900" cy="873760"/>
          <wp:effectExtent l="19050" t="0" r="0" b="0"/>
          <wp:wrapNone/>
          <wp:docPr id="3" name="Picture 3" descr="cid:6B38DF50-484D-4DCE-8DA4-983895DAD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6B38DF50-484D-4DCE-8DA4-983895DAD724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73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56A64" w:rsidRDefault="00F56A64" w:rsidP="003A701D">
    <w:pPr>
      <w:tabs>
        <w:tab w:val="center" w:pos="4961"/>
        <w:tab w:val="left" w:pos="711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A64" w:rsidRDefault="00F56A64">
      <w:r>
        <w:separator/>
      </w:r>
    </w:p>
  </w:footnote>
  <w:footnote w:type="continuationSeparator" w:id="0">
    <w:p w:rsidR="00F56A64" w:rsidRDefault="00F56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A64" w:rsidRPr="00520C91" w:rsidRDefault="00F56A64" w:rsidP="00DC7110">
    <w:pPr>
      <w:pStyle w:val="Header"/>
      <w:jc w:val="center"/>
      <w:rPr>
        <w:lang w:val="ru-RU"/>
      </w:rPr>
    </w:pPr>
    <w:r>
      <w:rPr>
        <w:noProof/>
        <w:lang w:val="ru-RU" w:eastAsia="ru-RU"/>
      </w:rPr>
      <w:drawing>
        <wp:inline distT="0" distB="0" distL="0" distR="0">
          <wp:extent cx="527685" cy="527685"/>
          <wp:effectExtent l="19050" t="0" r="5715" b="0"/>
          <wp:docPr id="1" name="Picture 1" descr="GHP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HP_ema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795B"/>
    <w:multiLevelType w:val="hybridMultilevel"/>
    <w:tmpl w:val="BCE66296"/>
    <w:lvl w:ilvl="0" w:tplc="7E8AE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43206"/>
    <w:multiLevelType w:val="hybridMultilevel"/>
    <w:tmpl w:val="6EA0556C"/>
    <w:lvl w:ilvl="0" w:tplc="7E8AE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56064"/>
    <w:multiLevelType w:val="hybridMultilevel"/>
    <w:tmpl w:val="708C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F4"/>
    <w:rsid w:val="0000363A"/>
    <w:rsid w:val="00006F04"/>
    <w:rsid w:val="00010C14"/>
    <w:rsid w:val="00023A55"/>
    <w:rsid w:val="00024C68"/>
    <w:rsid w:val="000333C5"/>
    <w:rsid w:val="00033DAF"/>
    <w:rsid w:val="00034C5E"/>
    <w:rsid w:val="00036E55"/>
    <w:rsid w:val="000441E1"/>
    <w:rsid w:val="00044E0E"/>
    <w:rsid w:val="000463C4"/>
    <w:rsid w:val="000535A3"/>
    <w:rsid w:val="00057838"/>
    <w:rsid w:val="000600D0"/>
    <w:rsid w:val="00061D83"/>
    <w:rsid w:val="00070E96"/>
    <w:rsid w:val="00071D1A"/>
    <w:rsid w:val="00071D3F"/>
    <w:rsid w:val="0007234F"/>
    <w:rsid w:val="00081458"/>
    <w:rsid w:val="00081B28"/>
    <w:rsid w:val="00084768"/>
    <w:rsid w:val="00086B74"/>
    <w:rsid w:val="00090D5E"/>
    <w:rsid w:val="00091DFF"/>
    <w:rsid w:val="00092164"/>
    <w:rsid w:val="00093922"/>
    <w:rsid w:val="0009544D"/>
    <w:rsid w:val="00096BED"/>
    <w:rsid w:val="000A1356"/>
    <w:rsid w:val="000A3947"/>
    <w:rsid w:val="000A6349"/>
    <w:rsid w:val="000A6476"/>
    <w:rsid w:val="000A7D1E"/>
    <w:rsid w:val="000A7E0F"/>
    <w:rsid w:val="000B3863"/>
    <w:rsid w:val="000B3A41"/>
    <w:rsid w:val="000B3C2F"/>
    <w:rsid w:val="000B6793"/>
    <w:rsid w:val="000C2042"/>
    <w:rsid w:val="000C21D7"/>
    <w:rsid w:val="000C26B4"/>
    <w:rsid w:val="000C3412"/>
    <w:rsid w:val="000C3947"/>
    <w:rsid w:val="000C3C5E"/>
    <w:rsid w:val="000C4C0D"/>
    <w:rsid w:val="000D0375"/>
    <w:rsid w:val="000D657B"/>
    <w:rsid w:val="000E2009"/>
    <w:rsid w:val="000E4C41"/>
    <w:rsid w:val="000E6F1E"/>
    <w:rsid w:val="000E7408"/>
    <w:rsid w:val="000E7468"/>
    <w:rsid w:val="000F2904"/>
    <w:rsid w:val="000F559F"/>
    <w:rsid w:val="00100F95"/>
    <w:rsid w:val="00105566"/>
    <w:rsid w:val="001101D7"/>
    <w:rsid w:val="00110E63"/>
    <w:rsid w:val="00111D90"/>
    <w:rsid w:val="00123E38"/>
    <w:rsid w:val="00125D7E"/>
    <w:rsid w:val="00130F0F"/>
    <w:rsid w:val="00136533"/>
    <w:rsid w:val="00145FA4"/>
    <w:rsid w:val="00147956"/>
    <w:rsid w:val="00153DD3"/>
    <w:rsid w:val="00154BF5"/>
    <w:rsid w:val="001600B4"/>
    <w:rsid w:val="00162FFE"/>
    <w:rsid w:val="00166783"/>
    <w:rsid w:val="00171DD0"/>
    <w:rsid w:val="00173E58"/>
    <w:rsid w:val="00181778"/>
    <w:rsid w:val="0018354F"/>
    <w:rsid w:val="001844C5"/>
    <w:rsid w:val="00187EDB"/>
    <w:rsid w:val="00191E83"/>
    <w:rsid w:val="0019359E"/>
    <w:rsid w:val="001A24B9"/>
    <w:rsid w:val="001B04B8"/>
    <w:rsid w:val="001B0BB2"/>
    <w:rsid w:val="001B34AA"/>
    <w:rsid w:val="001B578C"/>
    <w:rsid w:val="001B7A52"/>
    <w:rsid w:val="001C1536"/>
    <w:rsid w:val="001C67F9"/>
    <w:rsid w:val="001C6D9A"/>
    <w:rsid w:val="001D1B26"/>
    <w:rsid w:val="001D6706"/>
    <w:rsid w:val="001D6EA6"/>
    <w:rsid w:val="001D70C1"/>
    <w:rsid w:val="001E53D0"/>
    <w:rsid w:val="001E5437"/>
    <w:rsid w:val="001F3693"/>
    <w:rsid w:val="001F7D19"/>
    <w:rsid w:val="002076AC"/>
    <w:rsid w:val="00207CCE"/>
    <w:rsid w:val="00210DC8"/>
    <w:rsid w:val="002115C6"/>
    <w:rsid w:val="002150D7"/>
    <w:rsid w:val="00222278"/>
    <w:rsid w:val="002234B1"/>
    <w:rsid w:val="0022366C"/>
    <w:rsid w:val="00223CB7"/>
    <w:rsid w:val="00224FCA"/>
    <w:rsid w:val="00225D3E"/>
    <w:rsid w:val="00226672"/>
    <w:rsid w:val="00227D7F"/>
    <w:rsid w:val="00234F82"/>
    <w:rsid w:val="00241EAD"/>
    <w:rsid w:val="002424CC"/>
    <w:rsid w:val="002427F2"/>
    <w:rsid w:val="002618BB"/>
    <w:rsid w:val="0026291F"/>
    <w:rsid w:val="00267A20"/>
    <w:rsid w:val="00271406"/>
    <w:rsid w:val="00272AEC"/>
    <w:rsid w:val="00273CA7"/>
    <w:rsid w:val="002813F1"/>
    <w:rsid w:val="00290094"/>
    <w:rsid w:val="00291E41"/>
    <w:rsid w:val="00295363"/>
    <w:rsid w:val="00296046"/>
    <w:rsid w:val="00297C2C"/>
    <w:rsid w:val="002A1EAD"/>
    <w:rsid w:val="002B2E37"/>
    <w:rsid w:val="002B6DCC"/>
    <w:rsid w:val="002C0757"/>
    <w:rsid w:val="002C102B"/>
    <w:rsid w:val="002C2FC1"/>
    <w:rsid w:val="002C3E5A"/>
    <w:rsid w:val="002C4E91"/>
    <w:rsid w:val="002C5A45"/>
    <w:rsid w:val="002D5BBE"/>
    <w:rsid w:val="002E00CB"/>
    <w:rsid w:val="002E2673"/>
    <w:rsid w:val="002E2AD0"/>
    <w:rsid w:val="002E3E7C"/>
    <w:rsid w:val="002E4242"/>
    <w:rsid w:val="002E5806"/>
    <w:rsid w:val="002E79A7"/>
    <w:rsid w:val="002F268B"/>
    <w:rsid w:val="002F2E5C"/>
    <w:rsid w:val="003071C6"/>
    <w:rsid w:val="00315E29"/>
    <w:rsid w:val="003179A8"/>
    <w:rsid w:val="00321BFD"/>
    <w:rsid w:val="003263B0"/>
    <w:rsid w:val="003270AB"/>
    <w:rsid w:val="00330EA9"/>
    <w:rsid w:val="003335B1"/>
    <w:rsid w:val="003371F4"/>
    <w:rsid w:val="00340822"/>
    <w:rsid w:val="00346EAD"/>
    <w:rsid w:val="003536AF"/>
    <w:rsid w:val="00354668"/>
    <w:rsid w:val="0035557A"/>
    <w:rsid w:val="0036243B"/>
    <w:rsid w:val="0036395A"/>
    <w:rsid w:val="003668D2"/>
    <w:rsid w:val="00370D26"/>
    <w:rsid w:val="003758AD"/>
    <w:rsid w:val="00381E79"/>
    <w:rsid w:val="00382A40"/>
    <w:rsid w:val="00386253"/>
    <w:rsid w:val="00387AEE"/>
    <w:rsid w:val="003A701D"/>
    <w:rsid w:val="003B12A3"/>
    <w:rsid w:val="003B134B"/>
    <w:rsid w:val="003B69D7"/>
    <w:rsid w:val="003C23EF"/>
    <w:rsid w:val="003C4DF6"/>
    <w:rsid w:val="003D4266"/>
    <w:rsid w:val="003E22D7"/>
    <w:rsid w:val="003E477F"/>
    <w:rsid w:val="003E5A15"/>
    <w:rsid w:val="003E6552"/>
    <w:rsid w:val="003F2F40"/>
    <w:rsid w:val="003F48E1"/>
    <w:rsid w:val="003F51CF"/>
    <w:rsid w:val="003F523B"/>
    <w:rsid w:val="003F5E46"/>
    <w:rsid w:val="00402D26"/>
    <w:rsid w:val="00404F6A"/>
    <w:rsid w:val="00405AF5"/>
    <w:rsid w:val="0040798F"/>
    <w:rsid w:val="0041124E"/>
    <w:rsid w:val="00414F10"/>
    <w:rsid w:val="0041591E"/>
    <w:rsid w:val="00416ED4"/>
    <w:rsid w:val="00420390"/>
    <w:rsid w:val="0042272D"/>
    <w:rsid w:val="00423B71"/>
    <w:rsid w:val="00430A3F"/>
    <w:rsid w:val="00433506"/>
    <w:rsid w:val="00441DBB"/>
    <w:rsid w:val="004423D4"/>
    <w:rsid w:val="00443D05"/>
    <w:rsid w:val="0044574C"/>
    <w:rsid w:val="00447C9A"/>
    <w:rsid w:val="00454775"/>
    <w:rsid w:val="00457192"/>
    <w:rsid w:val="004675A7"/>
    <w:rsid w:val="004755A5"/>
    <w:rsid w:val="004755ED"/>
    <w:rsid w:val="00475F26"/>
    <w:rsid w:val="00477CB9"/>
    <w:rsid w:val="004804A3"/>
    <w:rsid w:val="0048282F"/>
    <w:rsid w:val="004836EE"/>
    <w:rsid w:val="00483EB9"/>
    <w:rsid w:val="004913BB"/>
    <w:rsid w:val="00493245"/>
    <w:rsid w:val="004A1017"/>
    <w:rsid w:val="004A11A3"/>
    <w:rsid w:val="004A1917"/>
    <w:rsid w:val="004A7A2D"/>
    <w:rsid w:val="004B03A8"/>
    <w:rsid w:val="004B2C18"/>
    <w:rsid w:val="004B56EE"/>
    <w:rsid w:val="004B75E3"/>
    <w:rsid w:val="004C2277"/>
    <w:rsid w:val="004C2377"/>
    <w:rsid w:val="004C7A13"/>
    <w:rsid w:val="004D10F1"/>
    <w:rsid w:val="004D1D65"/>
    <w:rsid w:val="004D2958"/>
    <w:rsid w:val="004D3A9C"/>
    <w:rsid w:val="004D7C19"/>
    <w:rsid w:val="004E0C60"/>
    <w:rsid w:val="004E13DE"/>
    <w:rsid w:val="004E25B9"/>
    <w:rsid w:val="004E487A"/>
    <w:rsid w:val="004E48B4"/>
    <w:rsid w:val="004F78DF"/>
    <w:rsid w:val="00500564"/>
    <w:rsid w:val="005107E1"/>
    <w:rsid w:val="00511019"/>
    <w:rsid w:val="00513824"/>
    <w:rsid w:val="00513AD3"/>
    <w:rsid w:val="005143D5"/>
    <w:rsid w:val="0051607F"/>
    <w:rsid w:val="00520C91"/>
    <w:rsid w:val="00523329"/>
    <w:rsid w:val="00524436"/>
    <w:rsid w:val="00524809"/>
    <w:rsid w:val="0052553A"/>
    <w:rsid w:val="0052626E"/>
    <w:rsid w:val="00530394"/>
    <w:rsid w:val="0053164A"/>
    <w:rsid w:val="005331E7"/>
    <w:rsid w:val="00540378"/>
    <w:rsid w:val="005410F4"/>
    <w:rsid w:val="00541127"/>
    <w:rsid w:val="00541793"/>
    <w:rsid w:val="005419CB"/>
    <w:rsid w:val="0054745A"/>
    <w:rsid w:val="00547FC8"/>
    <w:rsid w:val="00556B25"/>
    <w:rsid w:val="00561044"/>
    <w:rsid w:val="00562A88"/>
    <w:rsid w:val="005639E8"/>
    <w:rsid w:val="0057587B"/>
    <w:rsid w:val="00581B21"/>
    <w:rsid w:val="00587A77"/>
    <w:rsid w:val="00592876"/>
    <w:rsid w:val="00593110"/>
    <w:rsid w:val="005950FD"/>
    <w:rsid w:val="005A41AB"/>
    <w:rsid w:val="005A7AED"/>
    <w:rsid w:val="005B23A3"/>
    <w:rsid w:val="005B5088"/>
    <w:rsid w:val="005B7642"/>
    <w:rsid w:val="005B7E44"/>
    <w:rsid w:val="005C0C1F"/>
    <w:rsid w:val="005C13A9"/>
    <w:rsid w:val="005C31A9"/>
    <w:rsid w:val="005E50B2"/>
    <w:rsid w:val="005F314A"/>
    <w:rsid w:val="006009B7"/>
    <w:rsid w:val="00602CE6"/>
    <w:rsid w:val="00612009"/>
    <w:rsid w:val="00614B15"/>
    <w:rsid w:val="0061634C"/>
    <w:rsid w:val="006220D8"/>
    <w:rsid w:val="00622F1F"/>
    <w:rsid w:val="00626C04"/>
    <w:rsid w:val="00626CB4"/>
    <w:rsid w:val="00627243"/>
    <w:rsid w:val="00627AFC"/>
    <w:rsid w:val="00637F0F"/>
    <w:rsid w:val="00644106"/>
    <w:rsid w:val="006479E5"/>
    <w:rsid w:val="0065085B"/>
    <w:rsid w:val="00651A87"/>
    <w:rsid w:val="00656127"/>
    <w:rsid w:val="00663F37"/>
    <w:rsid w:val="00664E38"/>
    <w:rsid w:val="006766C2"/>
    <w:rsid w:val="00692FCD"/>
    <w:rsid w:val="0069720D"/>
    <w:rsid w:val="006A0C41"/>
    <w:rsid w:val="006A40DB"/>
    <w:rsid w:val="006A563A"/>
    <w:rsid w:val="006B0995"/>
    <w:rsid w:val="006B0F69"/>
    <w:rsid w:val="006B1620"/>
    <w:rsid w:val="006C11B9"/>
    <w:rsid w:val="006D7B1A"/>
    <w:rsid w:val="006E01AE"/>
    <w:rsid w:val="006E0DE1"/>
    <w:rsid w:val="006E151D"/>
    <w:rsid w:val="006E4689"/>
    <w:rsid w:val="006F02BF"/>
    <w:rsid w:val="006F7E4C"/>
    <w:rsid w:val="00712116"/>
    <w:rsid w:val="00716A5F"/>
    <w:rsid w:val="00717E97"/>
    <w:rsid w:val="00720051"/>
    <w:rsid w:val="00722F83"/>
    <w:rsid w:val="0072341E"/>
    <w:rsid w:val="007249F9"/>
    <w:rsid w:val="007501E8"/>
    <w:rsid w:val="00750832"/>
    <w:rsid w:val="007529F7"/>
    <w:rsid w:val="00755604"/>
    <w:rsid w:val="00755923"/>
    <w:rsid w:val="0076165D"/>
    <w:rsid w:val="00761B6B"/>
    <w:rsid w:val="00763AF4"/>
    <w:rsid w:val="00765B94"/>
    <w:rsid w:val="00770EE9"/>
    <w:rsid w:val="00783F4A"/>
    <w:rsid w:val="0078617B"/>
    <w:rsid w:val="00794CF6"/>
    <w:rsid w:val="0079501A"/>
    <w:rsid w:val="007A26F0"/>
    <w:rsid w:val="007A6483"/>
    <w:rsid w:val="007B0389"/>
    <w:rsid w:val="007B0D8B"/>
    <w:rsid w:val="007B1370"/>
    <w:rsid w:val="007B2D44"/>
    <w:rsid w:val="007B31B6"/>
    <w:rsid w:val="007C0DE9"/>
    <w:rsid w:val="007C1684"/>
    <w:rsid w:val="007D4774"/>
    <w:rsid w:val="007D6717"/>
    <w:rsid w:val="007E2FB2"/>
    <w:rsid w:val="007E330F"/>
    <w:rsid w:val="007E7B2E"/>
    <w:rsid w:val="007F240E"/>
    <w:rsid w:val="007F2F49"/>
    <w:rsid w:val="00804C3F"/>
    <w:rsid w:val="00805BEF"/>
    <w:rsid w:val="00806849"/>
    <w:rsid w:val="0080722C"/>
    <w:rsid w:val="0081657C"/>
    <w:rsid w:val="00821D4D"/>
    <w:rsid w:val="00827903"/>
    <w:rsid w:val="00830B35"/>
    <w:rsid w:val="00831E7E"/>
    <w:rsid w:val="008342F9"/>
    <w:rsid w:val="00835E76"/>
    <w:rsid w:val="00837A3E"/>
    <w:rsid w:val="0084224F"/>
    <w:rsid w:val="008442B5"/>
    <w:rsid w:val="0085153C"/>
    <w:rsid w:val="00864351"/>
    <w:rsid w:val="00865292"/>
    <w:rsid w:val="008703A8"/>
    <w:rsid w:val="00870DE4"/>
    <w:rsid w:val="00871EF1"/>
    <w:rsid w:val="008724CB"/>
    <w:rsid w:val="008754DF"/>
    <w:rsid w:val="00876BAA"/>
    <w:rsid w:val="008904C8"/>
    <w:rsid w:val="00891E25"/>
    <w:rsid w:val="008924E7"/>
    <w:rsid w:val="00895A64"/>
    <w:rsid w:val="008A2B5C"/>
    <w:rsid w:val="008A48FB"/>
    <w:rsid w:val="008A60D5"/>
    <w:rsid w:val="008B03AE"/>
    <w:rsid w:val="008B1782"/>
    <w:rsid w:val="008B24A1"/>
    <w:rsid w:val="008B3515"/>
    <w:rsid w:val="008B76B6"/>
    <w:rsid w:val="008C00E4"/>
    <w:rsid w:val="008C236C"/>
    <w:rsid w:val="008C50E5"/>
    <w:rsid w:val="008C5C2B"/>
    <w:rsid w:val="008C6400"/>
    <w:rsid w:val="008D33A0"/>
    <w:rsid w:val="008D3F70"/>
    <w:rsid w:val="008D57BC"/>
    <w:rsid w:val="008E6D1A"/>
    <w:rsid w:val="008F53E3"/>
    <w:rsid w:val="00902F94"/>
    <w:rsid w:val="00903123"/>
    <w:rsid w:val="00905959"/>
    <w:rsid w:val="00915292"/>
    <w:rsid w:val="00915F4A"/>
    <w:rsid w:val="009168CB"/>
    <w:rsid w:val="00922F68"/>
    <w:rsid w:val="00923D10"/>
    <w:rsid w:val="00925BA1"/>
    <w:rsid w:val="00927C77"/>
    <w:rsid w:val="009465DA"/>
    <w:rsid w:val="00947307"/>
    <w:rsid w:val="0095264E"/>
    <w:rsid w:val="00953401"/>
    <w:rsid w:val="00954B88"/>
    <w:rsid w:val="009652FA"/>
    <w:rsid w:val="00971450"/>
    <w:rsid w:val="00971877"/>
    <w:rsid w:val="00976309"/>
    <w:rsid w:val="00982EF6"/>
    <w:rsid w:val="00984623"/>
    <w:rsid w:val="00990101"/>
    <w:rsid w:val="00990CA4"/>
    <w:rsid w:val="0099226B"/>
    <w:rsid w:val="0099763A"/>
    <w:rsid w:val="009A3B16"/>
    <w:rsid w:val="009A6928"/>
    <w:rsid w:val="009B3388"/>
    <w:rsid w:val="009B6AA9"/>
    <w:rsid w:val="009C2074"/>
    <w:rsid w:val="009C7724"/>
    <w:rsid w:val="009D13DB"/>
    <w:rsid w:val="009D1801"/>
    <w:rsid w:val="009D1EB7"/>
    <w:rsid w:val="009D2589"/>
    <w:rsid w:val="009D3145"/>
    <w:rsid w:val="009D4534"/>
    <w:rsid w:val="009D7C3F"/>
    <w:rsid w:val="009E096F"/>
    <w:rsid w:val="009E24B4"/>
    <w:rsid w:val="009E25DF"/>
    <w:rsid w:val="009F0F24"/>
    <w:rsid w:val="009F31E5"/>
    <w:rsid w:val="009F3CCE"/>
    <w:rsid w:val="009F4018"/>
    <w:rsid w:val="009F575A"/>
    <w:rsid w:val="00A0303E"/>
    <w:rsid w:val="00A07413"/>
    <w:rsid w:val="00A11EDA"/>
    <w:rsid w:val="00A13002"/>
    <w:rsid w:val="00A22718"/>
    <w:rsid w:val="00A3312C"/>
    <w:rsid w:val="00A34DF3"/>
    <w:rsid w:val="00A53037"/>
    <w:rsid w:val="00A56FFD"/>
    <w:rsid w:val="00A5709E"/>
    <w:rsid w:val="00A57D6A"/>
    <w:rsid w:val="00A733AF"/>
    <w:rsid w:val="00A739DE"/>
    <w:rsid w:val="00A7667A"/>
    <w:rsid w:val="00A7727C"/>
    <w:rsid w:val="00A82A2E"/>
    <w:rsid w:val="00A86123"/>
    <w:rsid w:val="00A908E6"/>
    <w:rsid w:val="00A940C6"/>
    <w:rsid w:val="00A95F74"/>
    <w:rsid w:val="00A96130"/>
    <w:rsid w:val="00A974D5"/>
    <w:rsid w:val="00AA0E7A"/>
    <w:rsid w:val="00AA353E"/>
    <w:rsid w:val="00AA7351"/>
    <w:rsid w:val="00AB4FEB"/>
    <w:rsid w:val="00AC3B9F"/>
    <w:rsid w:val="00AC4085"/>
    <w:rsid w:val="00AC40B4"/>
    <w:rsid w:val="00AC6D6F"/>
    <w:rsid w:val="00AC6E26"/>
    <w:rsid w:val="00AC7288"/>
    <w:rsid w:val="00AD24E3"/>
    <w:rsid w:val="00AD2852"/>
    <w:rsid w:val="00AD7FD3"/>
    <w:rsid w:val="00AE0D04"/>
    <w:rsid w:val="00AE40B6"/>
    <w:rsid w:val="00AE663D"/>
    <w:rsid w:val="00AF16D9"/>
    <w:rsid w:val="00AF1C7F"/>
    <w:rsid w:val="00B02C6A"/>
    <w:rsid w:val="00B03EE8"/>
    <w:rsid w:val="00B1156F"/>
    <w:rsid w:val="00B13042"/>
    <w:rsid w:val="00B13296"/>
    <w:rsid w:val="00B13FF9"/>
    <w:rsid w:val="00B14519"/>
    <w:rsid w:val="00B14530"/>
    <w:rsid w:val="00B15541"/>
    <w:rsid w:val="00B219FF"/>
    <w:rsid w:val="00B21D40"/>
    <w:rsid w:val="00B30426"/>
    <w:rsid w:val="00B312B2"/>
    <w:rsid w:val="00B40CC4"/>
    <w:rsid w:val="00B44AAD"/>
    <w:rsid w:val="00B52636"/>
    <w:rsid w:val="00B53195"/>
    <w:rsid w:val="00B61385"/>
    <w:rsid w:val="00B621E2"/>
    <w:rsid w:val="00B70DC8"/>
    <w:rsid w:val="00B733C6"/>
    <w:rsid w:val="00B92F5A"/>
    <w:rsid w:val="00B9431B"/>
    <w:rsid w:val="00B95E08"/>
    <w:rsid w:val="00B977B8"/>
    <w:rsid w:val="00B97814"/>
    <w:rsid w:val="00B97F1A"/>
    <w:rsid w:val="00BA1DD9"/>
    <w:rsid w:val="00BA26D5"/>
    <w:rsid w:val="00BA2C37"/>
    <w:rsid w:val="00BA3883"/>
    <w:rsid w:val="00BA421E"/>
    <w:rsid w:val="00BA56E4"/>
    <w:rsid w:val="00BA5CEB"/>
    <w:rsid w:val="00BA61A7"/>
    <w:rsid w:val="00BB71EC"/>
    <w:rsid w:val="00BC0D26"/>
    <w:rsid w:val="00BC68E1"/>
    <w:rsid w:val="00BC6ACC"/>
    <w:rsid w:val="00BD4707"/>
    <w:rsid w:val="00BD520F"/>
    <w:rsid w:val="00BE0086"/>
    <w:rsid w:val="00BE3119"/>
    <w:rsid w:val="00BE48C8"/>
    <w:rsid w:val="00BE4C2F"/>
    <w:rsid w:val="00BE6A6B"/>
    <w:rsid w:val="00BF1909"/>
    <w:rsid w:val="00BF1B6B"/>
    <w:rsid w:val="00BF3448"/>
    <w:rsid w:val="00BF38BD"/>
    <w:rsid w:val="00C008EA"/>
    <w:rsid w:val="00C04115"/>
    <w:rsid w:val="00C06673"/>
    <w:rsid w:val="00C134B9"/>
    <w:rsid w:val="00C1571E"/>
    <w:rsid w:val="00C16A0A"/>
    <w:rsid w:val="00C174C6"/>
    <w:rsid w:val="00C25E6A"/>
    <w:rsid w:val="00C30BAA"/>
    <w:rsid w:val="00C3119A"/>
    <w:rsid w:val="00C33071"/>
    <w:rsid w:val="00C349B1"/>
    <w:rsid w:val="00C35026"/>
    <w:rsid w:val="00C42C71"/>
    <w:rsid w:val="00C442C0"/>
    <w:rsid w:val="00C44B77"/>
    <w:rsid w:val="00C50AB7"/>
    <w:rsid w:val="00C5211C"/>
    <w:rsid w:val="00C53628"/>
    <w:rsid w:val="00C55BBD"/>
    <w:rsid w:val="00C57AF5"/>
    <w:rsid w:val="00C63C25"/>
    <w:rsid w:val="00C64E6A"/>
    <w:rsid w:val="00C64F4A"/>
    <w:rsid w:val="00C66EEC"/>
    <w:rsid w:val="00C743B7"/>
    <w:rsid w:val="00C7591E"/>
    <w:rsid w:val="00C7683B"/>
    <w:rsid w:val="00C82063"/>
    <w:rsid w:val="00C82FC3"/>
    <w:rsid w:val="00C8313A"/>
    <w:rsid w:val="00C92EF8"/>
    <w:rsid w:val="00C966F0"/>
    <w:rsid w:val="00CA3B67"/>
    <w:rsid w:val="00CA7DAD"/>
    <w:rsid w:val="00CB0B7A"/>
    <w:rsid w:val="00CB6B8F"/>
    <w:rsid w:val="00CC2BB1"/>
    <w:rsid w:val="00CC76CF"/>
    <w:rsid w:val="00CD162E"/>
    <w:rsid w:val="00CE2BCA"/>
    <w:rsid w:val="00CE7769"/>
    <w:rsid w:val="00CF0818"/>
    <w:rsid w:val="00CF0872"/>
    <w:rsid w:val="00CF0DE6"/>
    <w:rsid w:val="00CF1184"/>
    <w:rsid w:val="00D02599"/>
    <w:rsid w:val="00D03E61"/>
    <w:rsid w:val="00D041A7"/>
    <w:rsid w:val="00D07F11"/>
    <w:rsid w:val="00D1053D"/>
    <w:rsid w:val="00D1376A"/>
    <w:rsid w:val="00D1582C"/>
    <w:rsid w:val="00D16D8B"/>
    <w:rsid w:val="00D22F70"/>
    <w:rsid w:val="00D24079"/>
    <w:rsid w:val="00D243AD"/>
    <w:rsid w:val="00D24ACC"/>
    <w:rsid w:val="00D319BC"/>
    <w:rsid w:val="00D34D8B"/>
    <w:rsid w:val="00D370AB"/>
    <w:rsid w:val="00D375BC"/>
    <w:rsid w:val="00D4097B"/>
    <w:rsid w:val="00D44305"/>
    <w:rsid w:val="00D5341F"/>
    <w:rsid w:val="00D63138"/>
    <w:rsid w:val="00D644E1"/>
    <w:rsid w:val="00D656A3"/>
    <w:rsid w:val="00D65FC8"/>
    <w:rsid w:val="00D74E8D"/>
    <w:rsid w:val="00D76B02"/>
    <w:rsid w:val="00D76F18"/>
    <w:rsid w:val="00D804D5"/>
    <w:rsid w:val="00D80DA5"/>
    <w:rsid w:val="00D828BA"/>
    <w:rsid w:val="00D83ECB"/>
    <w:rsid w:val="00D83EF0"/>
    <w:rsid w:val="00D847A1"/>
    <w:rsid w:val="00D84BDA"/>
    <w:rsid w:val="00D84DFB"/>
    <w:rsid w:val="00D91192"/>
    <w:rsid w:val="00D92279"/>
    <w:rsid w:val="00D935A5"/>
    <w:rsid w:val="00DA46FB"/>
    <w:rsid w:val="00DA4E55"/>
    <w:rsid w:val="00DB03B9"/>
    <w:rsid w:val="00DB084F"/>
    <w:rsid w:val="00DB1E0B"/>
    <w:rsid w:val="00DB3570"/>
    <w:rsid w:val="00DB5BFE"/>
    <w:rsid w:val="00DB7677"/>
    <w:rsid w:val="00DC32F3"/>
    <w:rsid w:val="00DC4E8C"/>
    <w:rsid w:val="00DC7110"/>
    <w:rsid w:val="00DC75DC"/>
    <w:rsid w:val="00DC760E"/>
    <w:rsid w:val="00DD0E71"/>
    <w:rsid w:val="00DD1D95"/>
    <w:rsid w:val="00DD3DAC"/>
    <w:rsid w:val="00DD7559"/>
    <w:rsid w:val="00DE0F4B"/>
    <w:rsid w:val="00DF36E3"/>
    <w:rsid w:val="00DF392A"/>
    <w:rsid w:val="00DF5DA7"/>
    <w:rsid w:val="00DF62A2"/>
    <w:rsid w:val="00E03AA8"/>
    <w:rsid w:val="00E05D2B"/>
    <w:rsid w:val="00E13D45"/>
    <w:rsid w:val="00E22ABE"/>
    <w:rsid w:val="00E2380D"/>
    <w:rsid w:val="00E26900"/>
    <w:rsid w:val="00E31980"/>
    <w:rsid w:val="00E31DD0"/>
    <w:rsid w:val="00E320D7"/>
    <w:rsid w:val="00E327F2"/>
    <w:rsid w:val="00E35CE3"/>
    <w:rsid w:val="00E35EFE"/>
    <w:rsid w:val="00E40146"/>
    <w:rsid w:val="00E43309"/>
    <w:rsid w:val="00E438FC"/>
    <w:rsid w:val="00E47FA4"/>
    <w:rsid w:val="00E503F8"/>
    <w:rsid w:val="00E50C7C"/>
    <w:rsid w:val="00E51F98"/>
    <w:rsid w:val="00E54307"/>
    <w:rsid w:val="00E554D8"/>
    <w:rsid w:val="00E57E16"/>
    <w:rsid w:val="00E606E4"/>
    <w:rsid w:val="00E645DE"/>
    <w:rsid w:val="00E679F4"/>
    <w:rsid w:val="00E74476"/>
    <w:rsid w:val="00E74724"/>
    <w:rsid w:val="00E75F3A"/>
    <w:rsid w:val="00E80EFB"/>
    <w:rsid w:val="00E812DC"/>
    <w:rsid w:val="00E84004"/>
    <w:rsid w:val="00E87A04"/>
    <w:rsid w:val="00E9265D"/>
    <w:rsid w:val="00E926B5"/>
    <w:rsid w:val="00E94503"/>
    <w:rsid w:val="00EA09B0"/>
    <w:rsid w:val="00EA2975"/>
    <w:rsid w:val="00EA4356"/>
    <w:rsid w:val="00EA7C4B"/>
    <w:rsid w:val="00EA7FB6"/>
    <w:rsid w:val="00EB09D1"/>
    <w:rsid w:val="00EB2C36"/>
    <w:rsid w:val="00EB7771"/>
    <w:rsid w:val="00EC6D03"/>
    <w:rsid w:val="00EC7AFB"/>
    <w:rsid w:val="00ED4FA3"/>
    <w:rsid w:val="00EE0139"/>
    <w:rsid w:val="00EE0D7A"/>
    <w:rsid w:val="00EE11FA"/>
    <w:rsid w:val="00EE734A"/>
    <w:rsid w:val="00EE7F07"/>
    <w:rsid w:val="00EF1BAA"/>
    <w:rsid w:val="00EF1E73"/>
    <w:rsid w:val="00EF426F"/>
    <w:rsid w:val="00EF442E"/>
    <w:rsid w:val="00F03DE6"/>
    <w:rsid w:val="00F04432"/>
    <w:rsid w:val="00F05FFF"/>
    <w:rsid w:val="00F06570"/>
    <w:rsid w:val="00F07EB0"/>
    <w:rsid w:val="00F2019B"/>
    <w:rsid w:val="00F23F44"/>
    <w:rsid w:val="00F27109"/>
    <w:rsid w:val="00F27D71"/>
    <w:rsid w:val="00F34552"/>
    <w:rsid w:val="00F524D9"/>
    <w:rsid w:val="00F54EC3"/>
    <w:rsid w:val="00F56A64"/>
    <w:rsid w:val="00F658A7"/>
    <w:rsid w:val="00F82051"/>
    <w:rsid w:val="00F8665D"/>
    <w:rsid w:val="00F9346A"/>
    <w:rsid w:val="00F940D6"/>
    <w:rsid w:val="00F97ABB"/>
    <w:rsid w:val="00FA174F"/>
    <w:rsid w:val="00FA1DE4"/>
    <w:rsid w:val="00FA3465"/>
    <w:rsid w:val="00FA385A"/>
    <w:rsid w:val="00FB2DC2"/>
    <w:rsid w:val="00FB6C23"/>
    <w:rsid w:val="00FB7E32"/>
    <w:rsid w:val="00FC2078"/>
    <w:rsid w:val="00FC2176"/>
    <w:rsid w:val="00FC3108"/>
    <w:rsid w:val="00FC3815"/>
    <w:rsid w:val="00FC3BA6"/>
    <w:rsid w:val="00FC7B56"/>
    <w:rsid w:val="00FD586E"/>
    <w:rsid w:val="00FD7F2B"/>
    <w:rsid w:val="00FE11D2"/>
    <w:rsid w:val="00FE2C89"/>
    <w:rsid w:val="00FE5464"/>
    <w:rsid w:val="00FE75E1"/>
    <w:rsid w:val="00FE7F77"/>
    <w:rsid w:val="00FF0053"/>
    <w:rsid w:val="00FF1845"/>
    <w:rsid w:val="00FF29FD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1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110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link w:val="FooterChar"/>
    <w:rsid w:val="00DC711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B03EE8"/>
    <w:rPr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20C9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181778"/>
    <w:rPr>
      <w:color w:val="0000FF"/>
      <w:u w:val="single"/>
    </w:rPr>
  </w:style>
  <w:style w:type="paragraph" w:customStyle="1" w:styleId="Default">
    <w:name w:val="Default"/>
    <w:basedOn w:val="Normal"/>
    <w:rsid w:val="001F3693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Strong">
    <w:name w:val="Strong"/>
    <w:basedOn w:val="DefaultParagraphFont"/>
    <w:uiPriority w:val="22"/>
    <w:qFormat/>
    <w:rsid w:val="002C2FC1"/>
    <w:rPr>
      <w:b/>
      <w:bCs/>
    </w:rPr>
  </w:style>
  <w:style w:type="character" w:styleId="Emphasis">
    <w:name w:val="Emphasis"/>
    <w:basedOn w:val="DefaultParagraphFont"/>
    <w:uiPriority w:val="20"/>
    <w:qFormat/>
    <w:rsid w:val="00FD586E"/>
    <w:rPr>
      <w:b/>
      <w:bCs/>
      <w:i w:val="0"/>
      <w:iCs w:val="0"/>
    </w:rPr>
  </w:style>
  <w:style w:type="character" w:customStyle="1" w:styleId="st">
    <w:name w:val="st"/>
    <w:basedOn w:val="DefaultParagraphFont"/>
    <w:rsid w:val="00FD586E"/>
  </w:style>
  <w:style w:type="paragraph" w:styleId="PlainText">
    <w:name w:val="Plain Text"/>
    <w:basedOn w:val="Normal"/>
    <w:link w:val="PlainTextChar"/>
    <w:uiPriority w:val="99"/>
    <w:unhideWhenUsed/>
    <w:rsid w:val="00057838"/>
    <w:rPr>
      <w:rFonts w:ascii="Calibri" w:eastAsiaTheme="minorHAnsi" w:hAnsi="Calibri" w:cs="Calibri"/>
      <w:sz w:val="22"/>
      <w:szCs w:val="22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057838"/>
    <w:rPr>
      <w:rFonts w:ascii="Calibri" w:eastAsiaTheme="minorHAnsi" w:hAnsi="Calibri" w:cs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1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110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link w:val="FooterChar"/>
    <w:rsid w:val="00DC711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B03EE8"/>
    <w:rPr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20C9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181778"/>
    <w:rPr>
      <w:color w:val="0000FF"/>
      <w:u w:val="single"/>
    </w:rPr>
  </w:style>
  <w:style w:type="paragraph" w:customStyle="1" w:styleId="Default">
    <w:name w:val="Default"/>
    <w:basedOn w:val="Normal"/>
    <w:rsid w:val="001F3693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Strong">
    <w:name w:val="Strong"/>
    <w:basedOn w:val="DefaultParagraphFont"/>
    <w:uiPriority w:val="22"/>
    <w:qFormat/>
    <w:rsid w:val="002C2FC1"/>
    <w:rPr>
      <w:b/>
      <w:bCs/>
    </w:rPr>
  </w:style>
  <w:style w:type="character" w:styleId="Emphasis">
    <w:name w:val="Emphasis"/>
    <w:basedOn w:val="DefaultParagraphFont"/>
    <w:uiPriority w:val="20"/>
    <w:qFormat/>
    <w:rsid w:val="00FD586E"/>
    <w:rPr>
      <w:b/>
      <w:bCs/>
      <w:i w:val="0"/>
      <w:iCs w:val="0"/>
    </w:rPr>
  </w:style>
  <w:style w:type="character" w:customStyle="1" w:styleId="st">
    <w:name w:val="st"/>
    <w:basedOn w:val="DefaultParagraphFont"/>
    <w:rsid w:val="00FD586E"/>
  </w:style>
  <w:style w:type="paragraph" w:styleId="PlainText">
    <w:name w:val="Plain Text"/>
    <w:basedOn w:val="Normal"/>
    <w:link w:val="PlainTextChar"/>
    <w:uiPriority w:val="99"/>
    <w:unhideWhenUsed/>
    <w:rsid w:val="00057838"/>
    <w:rPr>
      <w:rFonts w:ascii="Calibri" w:eastAsiaTheme="minorHAnsi" w:hAnsi="Calibri" w:cs="Calibri"/>
      <w:sz w:val="22"/>
      <w:szCs w:val="22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057838"/>
    <w:rPr>
      <w:rFonts w:ascii="Calibri" w:eastAsiaTheme="minorHAnsi" w:hAnsi="Calibri" w:cs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er.Chernomorov@ghpgroup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6B38DF50-484D-4DCE-8DA4-983895DAD724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3615</CharactersWithSpaces>
  <SharedDoc>false</SharedDoc>
  <HLinks>
    <vt:vector size="6" baseType="variant">
      <vt:variant>
        <vt:i4>5242889</vt:i4>
      </vt:variant>
      <vt:variant>
        <vt:i4>-1</vt:i4>
      </vt:variant>
      <vt:variant>
        <vt:i4>2051</vt:i4>
      </vt:variant>
      <vt:variant>
        <vt:i4>1</vt:i4>
      </vt:variant>
      <vt:variant>
        <vt:lpwstr>cid:6B38DF50-484D-4DCE-8DA4-983895DAD724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</dc:creator>
  <cp:lastModifiedBy>Administrator</cp:lastModifiedBy>
  <cp:revision>4</cp:revision>
  <cp:lastPrinted>2012-10-25T12:59:00Z</cp:lastPrinted>
  <dcterms:created xsi:type="dcterms:W3CDTF">2014-12-09T15:15:00Z</dcterms:created>
  <dcterms:modified xsi:type="dcterms:W3CDTF">2015-01-27T14:46:00Z</dcterms:modified>
</cp:coreProperties>
</file>