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A12" w:rsidRPr="00B82A12" w:rsidRDefault="00B82A12" w:rsidP="00B82A12">
      <w:pPr>
        <w:rPr>
          <w:b/>
        </w:rPr>
      </w:pPr>
      <w:r w:rsidRPr="00B82A12">
        <w:rPr>
          <w:b/>
        </w:rPr>
        <w:t>Итоги недели. Обвальные распродажи</w:t>
      </w:r>
    </w:p>
    <w:p w:rsidR="00B82A12" w:rsidRDefault="00B82A12" w:rsidP="00B82A12">
      <w:pPr>
        <w:jc w:val="both"/>
        <w:rPr>
          <w:color w:val="000000"/>
        </w:rPr>
      </w:pPr>
    </w:p>
    <w:p w:rsidR="00B82A12" w:rsidRDefault="00B82A12" w:rsidP="00B82A12">
      <w:pPr>
        <w:jc w:val="both"/>
        <w:rPr>
          <w:color w:val="000000"/>
        </w:rPr>
      </w:pPr>
      <w:r>
        <w:rPr>
          <w:color w:val="000000"/>
        </w:rPr>
        <w:t xml:space="preserve">В прошедшем недельном обзоре мы предвидели сжатие напряжения и не обещали спокойной жизни на рынке. Однако реальность намного превзошла ожидания - прошедшая неделя принесла сильный обвал цен. Главной причиной пессимизма было по существу отсутствие новой программы поддержки рынков. Предложенная ФРС программа Твист предполагает лишь увеличение дюрации портфеля казначейских облигаций не изменяя при этом общей </w:t>
      </w:r>
      <w:proofErr w:type="gramStart"/>
      <w:r>
        <w:rPr>
          <w:color w:val="000000"/>
        </w:rPr>
        <w:t>суммы</w:t>
      </w:r>
      <w:proofErr w:type="gramEnd"/>
      <w:r>
        <w:rPr>
          <w:color w:val="000000"/>
        </w:rPr>
        <w:t xml:space="preserve"> использованных для выкупа средств. И это </w:t>
      </w:r>
      <w:proofErr w:type="gramStart"/>
      <w:r>
        <w:rPr>
          <w:color w:val="000000"/>
        </w:rPr>
        <w:t>при том</w:t>
      </w:r>
      <w:proofErr w:type="gramEnd"/>
      <w:r>
        <w:rPr>
          <w:color w:val="000000"/>
        </w:rPr>
        <w:t xml:space="preserve">, что ФРС дает очень мрачные оценки текущего состояния и прогнозов динамики развития экономики. Предпринятые ФРС меры поставят </w:t>
      </w:r>
      <w:proofErr w:type="gramStart"/>
      <w:r>
        <w:rPr>
          <w:color w:val="000000"/>
        </w:rPr>
        <w:t>банки</w:t>
      </w:r>
      <w:proofErr w:type="gramEnd"/>
      <w:r>
        <w:rPr>
          <w:color w:val="000000"/>
        </w:rPr>
        <w:t xml:space="preserve"> в трудное положение уменьшив прибыль стандартной банковской схемы - привлеченные под минимальный процент короткие деньги вкладывались в облигации на длительный срок. Выкуп ФРС длинных облигаций сделает более плоской кривую доходности, снизит доходность такой схемы для банков. Тем самым банки стараются «вытолкнуть» на поле кредитования реального сектора, но там при падающем спросе тоже очень легко приобрести вместо прибыли </w:t>
      </w:r>
      <w:proofErr w:type="spellStart"/>
      <w:r>
        <w:rPr>
          <w:color w:val="000000"/>
        </w:rPr>
        <w:t>невозвраты</w:t>
      </w:r>
      <w:proofErr w:type="spellEnd"/>
      <w:r>
        <w:rPr>
          <w:color w:val="000000"/>
        </w:rPr>
        <w:t xml:space="preserve"> и убытки. Не нужно быть пророком, чтобы понять насколько тяжелая перспектива предстоит банковской системе. </w:t>
      </w:r>
    </w:p>
    <w:p w:rsidR="00B82A12" w:rsidRDefault="00B82A12" w:rsidP="00B82A12">
      <w:pPr>
        <w:jc w:val="both"/>
        <w:rPr>
          <w:color w:val="000000"/>
        </w:rPr>
      </w:pPr>
    </w:p>
    <w:p w:rsidR="00B82A12" w:rsidRDefault="00B82A12" w:rsidP="00B82A12">
      <w:pPr>
        <w:jc w:val="both"/>
      </w:pPr>
      <w:r>
        <w:rPr>
          <w:color w:val="000000"/>
        </w:rPr>
        <w:t xml:space="preserve">Словно предвкушая предстоящие трудности, (а даже если и опираясь только на текущие не очень блестящее состояние) рейтинговые агентства снижают рейтинги банков. Очень активно поработало агентство </w:t>
      </w:r>
      <w:r>
        <w:rPr>
          <w:lang/>
        </w:rPr>
        <w:t>Moody</w:t>
      </w:r>
      <w:r>
        <w:t>'</w:t>
      </w:r>
      <w:r>
        <w:rPr>
          <w:lang/>
        </w:rPr>
        <w:t>s</w:t>
      </w:r>
      <w:r>
        <w:t xml:space="preserve">. Оно понизило рейтинг одного ирландского и восьми греческих банков. Но самое главное решение было по крупнейшим американским банкам – снижены рейтинги </w:t>
      </w:r>
      <w:r>
        <w:rPr>
          <w:lang/>
        </w:rPr>
        <w:t>Wells</w:t>
      </w:r>
      <w:r w:rsidRPr="00B82A12">
        <w:t xml:space="preserve"> </w:t>
      </w:r>
      <w:r>
        <w:rPr>
          <w:lang/>
        </w:rPr>
        <w:t>Fargo</w:t>
      </w:r>
      <w:r>
        <w:t xml:space="preserve"> и </w:t>
      </w:r>
      <w:r>
        <w:rPr>
          <w:lang/>
        </w:rPr>
        <w:t>Citigroup</w:t>
      </w:r>
      <w:r>
        <w:t xml:space="preserve">, а рейтинг </w:t>
      </w:r>
      <w:r>
        <w:rPr>
          <w:lang/>
        </w:rPr>
        <w:t>Bank</w:t>
      </w:r>
      <w:r w:rsidRPr="00B82A12">
        <w:t xml:space="preserve"> </w:t>
      </w:r>
      <w:r>
        <w:rPr>
          <w:lang/>
        </w:rPr>
        <w:t>of</w:t>
      </w:r>
      <w:r w:rsidRPr="00B82A12">
        <w:t xml:space="preserve"> </w:t>
      </w:r>
      <w:r>
        <w:rPr>
          <w:lang/>
        </w:rPr>
        <w:t>America</w:t>
      </w:r>
      <w:r w:rsidRPr="00B82A12">
        <w:t xml:space="preserve"> </w:t>
      </w:r>
      <w:r>
        <w:t xml:space="preserve">опустили сразу на 2 пункта. Вокруг </w:t>
      </w:r>
      <w:r>
        <w:rPr>
          <w:lang/>
        </w:rPr>
        <w:t>Bank</w:t>
      </w:r>
      <w:r w:rsidRPr="00B82A12">
        <w:t xml:space="preserve"> </w:t>
      </w:r>
      <w:r>
        <w:rPr>
          <w:lang/>
        </w:rPr>
        <w:t>of</w:t>
      </w:r>
      <w:r w:rsidRPr="00B82A12">
        <w:t xml:space="preserve"> </w:t>
      </w:r>
      <w:r>
        <w:rPr>
          <w:lang/>
        </w:rPr>
        <w:t>America</w:t>
      </w:r>
      <w:r>
        <w:t xml:space="preserve"> все плотнее сгущаются тучи, хотя даже само название банка ни в какое сравнение не идет </w:t>
      </w:r>
      <w:proofErr w:type="gramStart"/>
      <w:r>
        <w:t>с</w:t>
      </w:r>
      <w:proofErr w:type="gramEnd"/>
      <w:r>
        <w:t xml:space="preserve"> даже </w:t>
      </w:r>
      <w:proofErr w:type="gramStart"/>
      <w:r>
        <w:t>с</w:t>
      </w:r>
      <w:proofErr w:type="gramEnd"/>
      <w:r>
        <w:t xml:space="preserve"> самыми благородными «братьями» и даже само название должно ему давать некий иммунитет от повторения опыта </w:t>
      </w:r>
      <w:proofErr w:type="spellStart"/>
      <w:r>
        <w:t>Леманов</w:t>
      </w:r>
      <w:proofErr w:type="spellEnd"/>
      <w:r>
        <w:t xml:space="preserve">. Агентство </w:t>
      </w:r>
      <w:r>
        <w:rPr>
          <w:lang/>
        </w:rPr>
        <w:t>S</w:t>
      </w:r>
      <w:r>
        <w:t>&amp;</w:t>
      </w:r>
      <w:r>
        <w:rPr>
          <w:lang/>
        </w:rPr>
        <w:t>P</w:t>
      </w:r>
      <w:r w:rsidRPr="00B82A12">
        <w:t xml:space="preserve"> </w:t>
      </w:r>
      <w:r>
        <w:t xml:space="preserve">снизило рейтинги семи итальянских банков и понизило прогноз по группе других банков. </w:t>
      </w:r>
    </w:p>
    <w:p w:rsidR="00B82A12" w:rsidRDefault="00B82A12" w:rsidP="00B82A12">
      <w:pPr>
        <w:jc w:val="both"/>
        <w:rPr>
          <w:color w:val="000000"/>
        </w:rPr>
      </w:pPr>
    </w:p>
    <w:p w:rsidR="00B82A12" w:rsidRDefault="00B82A12" w:rsidP="00B82A12">
      <w:pPr>
        <w:jc w:val="both"/>
        <w:rPr>
          <w:color w:val="000000"/>
        </w:rPr>
      </w:pPr>
      <w:r>
        <w:rPr>
          <w:color w:val="000000"/>
        </w:rPr>
        <w:t>Как результат всего высыпанного на рынки негатива инвесторы стали избавляться от бумаг банковского сектора. Заодно потянулись и другие бумаги. За один торговый день 22 сентября индекс ММВБ снизился более</w:t>
      </w:r>
      <w:proofErr w:type="gramStart"/>
      <w:r>
        <w:rPr>
          <w:color w:val="000000"/>
        </w:rPr>
        <w:t>,</w:t>
      </w:r>
      <w:proofErr w:type="gramEnd"/>
      <w:r>
        <w:rPr>
          <w:color w:val="000000"/>
        </w:rPr>
        <w:t xml:space="preserve"> чем на 7%, а РТС потерял десятую часть своего веса. Опережающее снижение индекса РТС </w:t>
      </w:r>
      <w:proofErr w:type="gramStart"/>
      <w:r>
        <w:rPr>
          <w:color w:val="000000"/>
        </w:rPr>
        <w:t>по прежнему</w:t>
      </w:r>
      <w:proofErr w:type="gramEnd"/>
      <w:r>
        <w:rPr>
          <w:color w:val="000000"/>
        </w:rPr>
        <w:t xml:space="preserve"> было связано с падением рубля. Бивалютная корзина за августовскую и сентябрьскую волну выросла более</w:t>
      </w:r>
      <w:proofErr w:type="gramStart"/>
      <w:r>
        <w:rPr>
          <w:color w:val="000000"/>
        </w:rPr>
        <w:t>,</w:t>
      </w:r>
      <w:proofErr w:type="gramEnd"/>
      <w:r>
        <w:rPr>
          <w:color w:val="000000"/>
        </w:rPr>
        <w:t xml:space="preserve"> чем на 13%. Сползание рубля приобрело более выраженный характер после того, как было дополнено сильным снижением цен на нефть. (Цена черного золота за океаном снизилась под планку в 80 долларов за баррель).  </w:t>
      </w:r>
    </w:p>
    <w:p w:rsidR="008A6D6D" w:rsidRDefault="008A6D6D" w:rsidP="00B82A12">
      <w:pPr>
        <w:jc w:val="both"/>
        <w:rPr>
          <w:color w:val="000000"/>
        </w:rPr>
      </w:pPr>
    </w:p>
    <w:p w:rsidR="00B82A12" w:rsidRDefault="00B82A12" w:rsidP="00B82A12">
      <w:pPr>
        <w:jc w:val="both"/>
        <w:rPr>
          <w:color w:val="000000"/>
        </w:rPr>
      </w:pPr>
      <w:r>
        <w:rPr>
          <w:color w:val="000000"/>
        </w:rPr>
        <w:t>Обвальное снижение четверга на рынке было продолжено чуть с меньшим энтузиазмом в пятницу. Объемы торгов в оба этих дня более</w:t>
      </w:r>
      <w:proofErr w:type="gramStart"/>
      <w:r>
        <w:rPr>
          <w:color w:val="000000"/>
        </w:rPr>
        <w:t>,</w:t>
      </w:r>
      <w:proofErr w:type="gramEnd"/>
      <w:r>
        <w:rPr>
          <w:color w:val="000000"/>
        </w:rPr>
        <w:t xml:space="preserve"> чем в полтора раза превышали среднемесячные значения. Это свидетельствует о большой вовлеченности игроков в процесс. Индексы РТС и ММВБ опустились ниже 1300 пунктов. Недельное снижение средних цен ликвидных бумаг на рынке составило 12%. Кроме </w:t>
      </w:r>
      <w:proofErr w:type="gramStart"/>
      <w:r>
        <w:rPr>
          <w:color w:val="000000"/>
        </w:rPr>
        <w:t>банковского</w:t>
      </w:r>
      <w:proofErr w:type="gramEnd"/>
      <w:r>
        <w:rPr>
          <w:color w:val="000000"/>
        </w:rPr>
        <w:t xml:space="preserve"> очень сильно пострадал сектор электроэнергетики. Там разочарование было связано с утвержденным правительством очень скромным предельным </w:t>
      </w:r>
      <w:r>
        <w:rPr>
          <w:color w:val="000000"/>
        </w:rPr>
        <w:lastRenderedPageBreak/>
        <w:t xml:space="preserve">ростом тарифов, которое вдобавок будет проходить не с 1 января, но со средины года.  Другие сектора тоже очень сильно просели. Фактически сброс бумаг бы </w:t>
      </w:r>
      <w:proofErr w:type="gramStart"/>
      <w:r>
        <w:rPr>
          <w:color w:val="000000"/>
        </w:rPr>
        <w:t>фронтальным</w:t>
      </w:r>
      <w:proofErr w:type="gramEnd"/>
      <w:r>
        <w:rPr>
          <w:color w:val="000000"/>
        </w:rPr>
        <w:t xml:space="preserve">. </w:t>
      </w:r>
    </w:p>
    <w:p w:rsidR="00B82A12" w:rsidRDefault="00B82A12" w:rsidP="00B82A12">
      <w:pPr>
        <w:jc w:val="both"/>
        <w:rPr>
          <w:color w:val="000000"/>
        </w:rPr>
      </w:pPr>
    </w:p>
    <w:p w:rsidR="00B82A12" w:rsidRDefault="00B82A12" w:rsidP="00B82A12">
      <w:pPr>
        <w:jc w:val="both"/>
        <w:rPr>
          <w:color w:val="000000"/>
        </w:rPr>
      </w:pPr>
      <w:r>
        <w:rPr>
          <w:color w:val="000000"/>
        </w:rPr>
        <w:t xml:space="preserve">Проходившие многочисленные встречи финансовой элиты не принесли и доли оптимизма. Напротив, общий фон заявлений был достаточно мрачным. Например, по мнению участника встреч  министра финансов РФ Алексея Кудрина, мировая экономика в ближайшие пять-десять лет будет расти </w:t>
      </w:r>
      <w:proofErr w:type="gramStart"/>
      <w:r>
        <w:rPr>
          <w:color w:val="000000"/>
        </w:rPr>
        <w:t>медленно</w:t>
      </w:r>
      <w:proofErr w:type="gramEnd"/>
      <w:r>
        <w:rPr>
          <w:color w:val="000000"/>
        </w:rPr>
        <w:t xml:space="preserve"> и министр назвал эти годы «потерянным десятилетием». В течение двух дней обвал прошелся по всем рынкам. Даже их перечисление вызывает стойкую аналогию с процессами сентября 2008 года. Но сейчас на дворе год 2011 и все будет </w:t>
      </w:r>
      <w:proofErr w:type="gramStart"/>
      <w:r>
        <w:rPr>
          <w:color w:val="000000"/>
        </w:rPr>
        <w:t>по другому</w:t>
      </w:r>
      <w:proofErr w:type="gramEnd"/>
      <w:r>
        <w:rPr>
          <w:color w:val="000000"/>
        </w:rPr>
        <w:t xml:space="preserve">. </w:t>
      </w:r>
    </w:p>
    <w:p w:rsidR="00B82A12" w:rsidRDefault="00B82A12" w:rsidP="00B82A12">
      <w:pPr>
        <w:rPr>
          <w:color w:val="000000"/>
        </w:rPr>
      </w:pPr>
    </w:p>
    <w:tbl>
      <w:tblPr>
        <w:tblW w:w="6080" w:type="dxa"/>
        <w:tblCellMar>
          <w:left w:w="0" w:type="dxa"/>
          <w:right w:w="0" w:type="dxa"/>
        </w:tblCellMar>
        <w:tblLook w:val="04A0"/>
      </w:tblPr>
      <w:tblGrid>
        <w:gridCol w:w="2036"/>
        <w:gridCol w:w="913"/>
        <w:gridCol w:w="997"/>
        <w:gridCol w:w="997"/>
        <w:gridCol w:w="764"/>
        <w:gridCol w:w="722"/>
      </w:tblGrid>
      <w:tr w:rsidR="00B82A12" w:rsidTr="00B82A12">
        <w:trPr>
          <w:trHeight w:val="255"/>
        </w:trPr>
        <w:tc>
          <w:tcPr>
            <w:tcW w:w="1940" w:type="dxa"/>
            <w:vMerge w:val="restart"/>
            <w:tcBorders>
              <w:top w:val="single" w:sz="8" w:space="0" w:color="auto"/>
              <w:left w:val="single" w:sz="8" w:space="0" w:color="auto"/>
              <w:bottom w:val="single" w:sz="8" w:space="0" w:color="000000"/>
              <w:right w:val="single" w:sz="8" w:space="0" w:color="auto"/>
            </w:tcBorders>
            <w:tcMar>
              <w:top w:w="10" w:type="dxa"/>
              <w:left w:w="10" w:type="dxa"/>
              <w:bottom w:w="0" w:type="dxa"/>
              <w:right w:w="10" w:type="dxa"/>
            </w:tcMar>
            <w:vAlign w:val="bottom"/>
            <w:hideMark/>
          </w:tcPr>
          <w:p w:rsidR="00B82A12" w:rsidRDefault="00B82A12">
            <w:pPr>
              <w:jc w:val="center"/>
              <w:rPr>
                <w:b/>
                <w:bCs/>
                <w:sz w:val="24"/>
                <w:szCs w:val="24"/>
              </w:rPr>
            </w:pPr>
            <w:r>
              <w:rPr>
                <w:b/>
                <w:bCs/>
              </w:rPr>
              <w:t>Результаты торгов на ММВБ за неделю</w:t>
            </w:r>
          </w:p>
        </w:tc>
        <w:tc>
          <w:tcPr>
            <w:tcW w:w="1800" w:type="dxa"/>
            <w:gridSpan w:val="2"/>
            <w:tcBorders>
              <w:top w:val="single" w:sz="8" w:space="0" w:color="auto"/>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center"/>
              <w:rPr>
                <w:sz w:val="20"/>
                <w:szCs w:val="20"/>
              </w:rPr>
            </w:pPr>
            <w:r>
              <w:rPr>
                <w:sz w:val="20"/>
                <w:szCs w:val="20"/>
              </w:rPr>
              <w:t>Изменение цен, %</w:t>
            </w:r>
          </w:p>
        </w:tc>
        <w:tc>
          <w:tcPr>
            <w:tcW w:w="940" w:type="dxa"/>
            <w:tcBorders>
              <w:top w:val="single" w:sz="8" w:space="0" w:color="auto"/>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sz w:val="20"/>
                <w:szCs w:val="20"/>
              </w:rPr>
            </w:pPr>
            <w:r>
              <w:rPr>
                <w:sz w:val="20"/>
                <w:szCs w:val="20"/>
              </w:rPr>
              <w:t> </w:t>
            </w:r>
          </w:p>
        </w:tc>
        <w:tc>
          <w:tcPr>
            <w:tcW w:w="720" w:type="dxa"/>
            <w:tcBorders>
              <w:top w:val="single" w:sz="8" w:space="0" w:color="auto"/>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sz w:val="20"/>
                <w:szCs w:val="20"/>
              </w:rPr>
            </w:pPr>
            <w:r>
              <w:rPr>
                <w:sz w:val="20"/>
                <w:szCs w:val="20"/>
              </w:rPr>
              <w:t> </w:t>
            </w:r>
          </w:p>
        </w:tc>
        <w:tc>
          <w:tcPr>
            <w:tcW w:w="680" w:type="dxa"/>
            <w:tcBorders>
              <w:top w:val="single" w:sz="8" w:space="0" w:color="auto"/>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sz w:val="20"/>
                <w:szCs w:val="20"/>
              </w:rPr>
            </w:pPr>
            <w:r>
              <w:rPr>
                <w:sz w:val="20"/>
                <w:szCs w:val="20"/>
              </w:rPr>
              <w:t> </w:t>
            </w:r>
          </w:p>
        </w:tc>
      </w:tr>
      <w:tr w:rsidR="00B82A12" w:rsidTr="00B82A12">
        <w:trPr>
          <w:trHeight w:val="6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B82A12" w:rsidRDefault="00B82A12">
            <w:pPr>
              <w:rPr>
                <w:b/>
                <w:bCs/>
                <w:sz w:val="24"/>
                <w:szCs w:val="24"/>
              </w:rPr>
            </w:pPr>
          </w:p>
        </w:tc>
        <w:tc>
          <w:tcPr>
            <w:tcW w:w="860" w:type="dxa"/>
            <w:tcBorders>
              <w:top w:val="nil"/>
              <w:left w:val="nil"/>
              <w:bottom w:val="single" w:sz="8" w:space="0" w:color="auto"/>
              <w:right w:val="single" w:sz="8" w:space="0" w:color="auto"/>
            </w:tcBorders>
            <w:tcMar>
              <w:top w:w="10" w:type="dxa"/>
              <w:left w:w="10" w:type="dxa"/>
              <w:bottom w:w="0" w:type="dxa"/>
              <w:right w:w="10" w:type="dxa"/>
            </w:tcMar>
            <w:vAlign w:val="center"/>
            <w:hideMark/>
          </w:tcPr>
          <w:p w:rsidR="00B82A12" w:rsidRDefault="00B82A12">
            <w:pPr>
              <w:jc w:val="center"/>
              <w:rPr>
                <w:sz w:val="20"/>
                <w:szCs w:val="20"/>
              </w:rPr>
            </w:pPr>
            <w:r>
              <w:rPr>
                <w:sz w:val="20"/>
                <w:szCs w:val="20"/>
              </w:rPr>
              <w:t>За неделю</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center"/>
            <w:hideMark/>
          </w:tcPr>
          <w:p w:rsidR="00B82A12" w:rsidRDefault="00B82A12">
            <w:pPr>
              <w:jc w:val="center"/>
              <w:rPr>
                <w:sz w:val="20"/>
                <w:szCs w:val="20"/>
              </w:rPr>
            </w:pPr>
            <w:proofErr w:type="spellStart"/>
            <w:r>
              <w:rPr>
                <w:sz w:val="20"/>
                <w:szCs w:val="20"/>
              </w:rPr>
              <w:t>c</w:t>
            </w:r>
            <w:proofErr w:type="spellEnd"/>
            <w:r>
              <w:rPr>
                <w:sz w:val="20"/>
                <w:szCs w:val="20"/>
              </w:rPr>
              <w:t xml:space="preserve"> 30/12/10</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center"/>
            <w:hideMark/>
          </w:tcPr>
          <w:p w:rsidR="00B82A12" w:rsidRDefault="00B82A12">
            <w:pPr>
              <w:jc w:val="center"/>
              <w:rPr>
                <w:sz w:val="20"/>
                <w:szCs w:val="20"/>
              </w:rPr>
            </w:pPr>
            <w:proofErr w:type="spellStart"/>
            <w:r>
              <w:rPr>
                <w:sz w:val="20"/>
                <w:szCs w:val="20"/>
              </w:rPr>
              <w:t>Кап-ция</w:t>
            </w:r>
            <w:proofErr w:type="spellEnd"/>
            <w:r>
              <w:rPr>
                <w:sz w:val="20"/>
                <w:szCs w:val="20"/>
              </w:rPr>
              <w:t>., млн $</w:t>
            </w:r>
          </w:p>
        </w:tc>
        <w:tc>
          <w:tcPr>
            <w:tcW w:w="720" w:type="dxa"/>
            <w:tcBorders>
              <w:top w:val="nil"/>
              <w:left w:val="nil"/>
              <w:bottom w:val="single" w:sz="8" w:space="0" w:color="auto"/>
              <w:right w:val="single" w:sz="8" w:space="0" w:color="auto"/>
            </w:tcBorders>
            <w:tcMar>
              <w:top w:w="10" w:type="dxa"/>
              <w:left w:w="10" w:type="dxa"/>
              <w:bottom w:w="0" w:type="dxa"/>
              <w:right w:w="10" w:type="dxa"/>
            </w:tcMar>
            <w:vAlign w:val="center"/>
            <w:hideMark/>
          </w:tcPr>
          <w:p w:rsidR="00B82A12" w:rsidRDefault="00B82A12">
            <w:pPr>
              <w:jc w:val="center"/>
              <w:rPr>
                <w:sz w:val="20"/>
                <w:szCs w:val="20"/>
              </w:rPr>
            </w:pPr>
            <w:r>
              <w:rPr>
                <w:sz w:val="20"/>
                <w:szCs w:val="20"/>
              </w:rPr>
              <w:t>P/S</w:t>
            </w:r>
          </w:p>
        </w:tc>
        <w:tc>
          <w:tcPr>
            <w:tcW w:w="680" w:type="dxa"/>
            <w:tcBorders>
              <w:top w:val="nil"/>
              <w:left w:val="nil"/>
              <w:bottom w:val="single" w:sz="8" w:space="0" w:color="auto"/>
              <w:right w:val="single" w:sz="8" w:space="0" w:color="auto"/>
            </w:tcBorders>
            <w:tcMar>
              <w:top w:w="10" w:type="dxa"/>
              <w:left w:w="10" w:type="dxa"/>
              <w:bottom w:w="0" w:type="dxa"/>
              <w:right w:w="10" w:type="dxa"/>
            </w:tcMar>
            <w:vAlign w:val="center"/>
            <w:hideMark/>
          </w:tcPr>
          <w:p w:rsidR="00B82A12" w:rsidRDefault="00B82A12">
            <w:pPr>
              <w:jc w:val="center"/>
              <w:rPr>
                <w:sz w:val="20"/>
                <w:szCs w:val="20"/>
              </w:rPr>
            </w:pPr>
            <w:r>
              <w:rPr>
                <w:sz w:val="20"/>
                <w:szCs w:val="20"/>
              </w:rPr>
              <w:t>P/E</w:t>
            </w:r>
          </w:p>
        </w:tc>
      </w:tr>
      <w:tr w:rsidR="00B82A12" w:rsidTr="00B82A12">
        <w:trPr>
          <w:trHeight w:val="630"/>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Весь рынок</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-11,7%</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-21,1%</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599 755</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1,1</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6,3</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Нефтегазовый сектор</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-10,2%</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-16,0%</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324 251</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0,9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4,3</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Энергетика</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-14,2%</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-36,9%</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58 313</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0,8</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12,1</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Банки</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-13,9%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-33,2%</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75 269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0,0</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9,4</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Металлы</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-12,9%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-22,2%</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91 570</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18,9</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Телекомы</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-10,2%</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-22,7%</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16 461</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1,2</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11,3</w:t>
            </w:r>
          </w:p>
        </w:tc>
      </w:tr>
      <w:tr w:rsidR="00B82A12" w:rsidTr="00B82A12">
        <w:trPr>
          <w:trHeight w:val="255"/>
        </w:trPr>
        <w:tc>
          <w:tcPr>
            <w:tcW w:w="0" w:type="auto"/>
            <w:tcBorders>
              <w:top w:val="nil"/>
              <w:left w:val="single" w:sz="8" w:space="0" w:color="auto"/>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rPr>
                <w:b/>
                <w:bCs/>
                <w:sz w:val="20"/>
                <w:szCs w:val="20"/>
              </w:rPr>
            </w:pPr>
            <w:r>
              <w:rPr>
                <w:b/>
                <w:bCs/>
                <w:sz w:val="20"/>
                <w:szCs w:val="20"/>
              </w:rPr>
              <w:t>Прочие</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-14,9%</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-12,9%</w:t>
            </w:r>
          </w:p>
        </w:tc>
        <w:tc>
          <w:tcPr>
            <w:tcW w:w="940" w:type="dxa"/>
            <w:tcBorders>
              <w:top w:val="nil"/>
              <w:left w:val="nil"/>
              <w:bottom w:val="single" w:sz="8" w:space="0" w:color="auto"/>
              <w:right w:val="single" w:sz="8" w:space="0" w:color="auto"/>
            </w:tcBorders>
            <w:tcMar>
              <w:top w:w="10" w:type="dxa"/>
              <w:left w:w="10" w:type="dxa"/>
              <w:bottom w:w="0" w:type="dxa"/>
              <w:right w:w="10" w:type="dxa"/>
            </w:tcMar>
            <w:vAlign w:val="bottom"/>
            <w:hideMark/>
          </w:tcPr>
          <w:p w:rsidR="00B82A12" w:rsidRDefault="00B82A12">
            <w:pPr>
              <w:jc w:val="right"/>
              <w:rPr>
                <w:b/>
                <w:bCs/>
                <w:color w:val="FF0000"/>
                <w:sz w:val="20"/>
                <w:szCs w:val="20"/>
              </w:rPr>
            </w:pPr>
            <w:r>
              <w:rPr>
                <w:b/>
                <w:bCs/>
                <w:color w:val="FF0000"/>
                <w:sz w:val="20"/>
                <w:szCs w:val="20"/>
              </w:rPr>
              <w:t>33 891</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1,3</w:t>
            </w:r>
          </w:p>
        </w:tc>
        <w:tc>
          <w:tcPr>
            <w:tcW w:w="0" w:type="auto"/>
            <w:tcBorders>
              <w:top w:val="nil"/>
              <w:left w:val="nil"/>
              <w:bottom w:val="single" w:sz="8" w:space="0" w:color="auto"/>
              <w:right w:val="single" w:sz="8" w:space="0" w:color="auto"/>
            </w:tcBorders>
            <w:noWrap/>
            <w:tcMar>
              <w:top w:w="10" w:type="dxa"/>
              <w:left w:w="10" w:type="dxa"/>
              <w:bottom w:w="0" w:type="dxa"/>
              <w:right w:w="10" w:type="dxa"/>
            </w:tcMar>
            <w:vAlign w:val="bottom"/>
            <w:hideMark/>
          </w:tcPr>
          <w:p w:rsidR="00B82A12" w:rsidRDefault="00B82A12">
            <w:pPr>
              <w:jc w:val="right"/>
              <w:rPr>
                <w:color w:val="0000FF"/>
                <w:sz w:val="20"/>
                <w:szCs w:val="20"/>
              </w:rPr>
            </w:pPr>
            <w:r>
              <w:rPr>
                <w:color w:val="0000FF"/>
                <w:sz w:val="20"/>
                <w:szCs w:val="20"/>
              </w:rPr>
              <w:t>19,0</w:t>
            </w:r>
          </w:p>
        </w:tc>
      </w:tr>
      <w:tr w:rsidR="00B82A12" w:rsidTr="00B82A12">
        <w:trPr>
          <w:trHeight w:val="255"/>
        </w:trPr>
        <w:tc>
          <w:tcPr>
            <w:tcW w:w="0" w:type="auto"/>
            <w:gridSpan w:val="6"/>
            <w:tcBorders>
              <w:top w:val="nil"/>
              <w:left w:val="single" w:sz="8" w:space="0" w:color="auto"/>
              <w:bottom w:val="single" w:sz="8" w:space="0" w:color="auto"/>
              <w:right w:val="single" w:sz="8" w:space="0" w:color="000000"/>
            </w:tcBorders>
            <w:noWrap/>
            <w:tcMar>
              <w:top w:w="10" w:type="dxa"/>
              <w:left w:w="10" w:type="dxa"/>
              <w:bottom w:w="0" w:type="dxa"/>
              <w:right w:w="10" w:type="dxa"/>
            </w:tcMar>
            <w:vAlign w:val="bottom"/>
            <w:hideMark/>
          </w:tcPr>
          <w:p w:rsidR="00B82A12" w:rsidRDefault="00B82A12">
            <w:pPr>
              <w:rPr>
                <w:sz w:val="20"/>
                <w:szCs w:val="20"/>
              </w:rPr>
            </w:pPr>
            <w:r>
              <w:rPr>
                <w:sz w:val="20"/>
                <w:szCs w:val="20"/>
              </w:rPr>
              <w:t xml:space="preserve">Средние по рынку получены с учетом веса капитализации сектора в рынке </w:t>
            </w:r>
          </w:p>
        </w:tc>
      </w:tr>
    </w:tbl>
    <w:p w:rsidR="00E9343C" w:rsidRPr="00B82A12" w:rsidRDefault="00E9343C" w:rsidP="004731E1">
      <w:pPr>
        <w:rPr>
          <w:lang w:val="en-US"/>
        </w:rPr>
      </w:pPr>
    </w:p>
    <w:sectPr w:rsidR="00E9343C" w:rsidRPr="00B82A12" w:rsidSect="001B78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A8AA4A4"/>
    <w:lvl w:ilvl="0">
      <w:numFmt w:val="bullet"/>
      <w:lvlText w:val="*"/>
      <w:lvlJc w:val="left"/>
    </w:lvl>
  </w:abstractNum>
  <w:num w:numId="1">
    <w:abstractNumId w:val="0"/>
    <w:lvlOverride w:ilvl="0">
      <w:lvl w:ilvl="0">
        <w:start w:val="65535"/>
        <w:numFmt w:val="bullet"/>
        <w:lvlText w:val="▲"/>
        <w:lvlJc w:val="left"/>
        <w:pPr>
          <w:ind w:left="360" w:hanging="360"/>
        </w:pPr>
        <w:rPr>
          <w:rFonts w:ascii="Arial" w:hAnsi="Arial" w:cs="Arial" w:hint="default"/>
        </w:rPr>
      </w:lvl>
    </w:lvlOverride>
  </w:num>
  <w:num w:numId="2">
    <w:abstractNumId w:val="0"/>
    <w:lvlOverride w:ilvl="0">
      <w:lvl w:ilvl="0">
        <w:start w:val="65535"/>
        <w:numFmt w:val="bullet"/>
        <w:lvlText w:val="►"/>
        <w:legacy w:legacy="1" w:legacySpace="0" w:legacyIndent="211"/>
        <w:lvlJc w:val="left"/>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057F72"/>
    <w:rsid w:val="000209AD"/>
    <w:rsid w:val="000379DE"/>
    <w:rsid w:val="00057F72"/>
    <w:rsid w:val="0008706A"/>
    <w:rsid w:val="000B7819"/>
    <w:rsid w:val="001039CE"/>
    <w:rsid w:val="00113E66"/>
    <w:rsid w:val="001413F8"/>
    <w:rsid w:val="00143DA6"/>
    <w:rsid w:val="00153391"/>
    <w:rsid w:val="00183049"/>
    <w:rsid w:val="001A022F"/>
    <w:rsid w:val="001B788C"/>
    <w:rsid w:val="001E3FA5"/>
    <w:rsid w:val="00210E83"/>
    <w:rsid w:val="00260A73"/>
    <w:rsid w:val="00260B94"/>
    <w:rsid w:val="0026205D"/>
    <w:rsid w:val="00285E1B"/>
    <w:rsid w:val="002E3062"/>
    <w:rsid w:val="0030705C"/>
    <w:rsid w:val="00312EC1"/>
    <w:rsid w:val="003154E7"/>
    <w:rsid w:val="0034349A"/>
    <w:rsid w:val="00356C86"/>
    <w:rsid w:val="00357318"/>
    <w:rsid w:val="00372643"/>
    <w:rsid w:val="003972A3"/>
    <w:rsid w:val="003A349E"/>
    <w:rsid w:val="003A7911"/>
    <w:rsid w:val="003B3260"/>
    <w:rsid w:val="00421931"/>
    <w:rsid w:val="004330C2"/>
    <w:rsid w:val="00471A09"/>
    <w:rsid w:val="004731E1"/>
    <w:rsid w:val="00492D70"/>
    <w:rsid w:val="004A244F"/>
    <w:rsid w:val="004C7F1F"/>
    <w:rsid w:val="005122FD"/>
    <w:rsid w:val="005200B1"/>
    <w:rsid w:val="005473A8"/>
    <w:rsid w:val="0055271E"/>
    <w:rsid w:val="00565A11"/>
    <w:rsid w:val="0059171C"/>
    <w:rsid w:val="00594C5B"/>
    <w:rsid w:val="00594FF8"/>
    <w:rsid w:val="005D54B2"/>
    <w:rsid w:val="005F6F9D"/>
    <w:rsid w:val="00646AC8"/>
    <w:rsid w:val="00683B56"/>
    <w:rsid w:val="006E06E6"/>
    <w:rsid w:val="006E3033"/>
    <w:rsid w:val="00715860"/>
    <w:rsid w:val="00725962"/>
    <w:rsid w:val="00736F27"/>
    <w:rsid w:val="0077771C"/>
    <w:rsid w:val="0078023E"/>
    <w:rsid w:val="007F6C94"/>
    <w:rsid w:val="007F7992"/>
    <w:rsid w:val="008657E7"/>
    <w:rsid w:val="0087341B"/>
    <w:rsid w:val="008A6D6D"/>
    <w:rsid w:val="008B5892"/>
    <w:rsid w:val="008D1EC0"/>
    <w:rsid w:val="008D4310"/>
    <w:rsid w:val="0090159C"/>
    <w:rsid w:val="009138C1"/>
    <w:rsid w:val="00947B41"/>
    <w:rsid w:val="00962381"/>
    <w:rsid w:val="00963DEA"/>
    <w:rsid w:val="00993D35"/>
    <w:rsid w:val="009A0904"/>
    <w:rsid w:val="009C115B"/>
    <w:rsid w:val="009F743E"/>
    <w:rsid w:val="00A16C17"/>
    <w:rsid w:val="00A2433B"/>
    <w:rsid w:val="00A258E4"/>
    <w:rsid w:val="00A32A7E"/>
    <w:rsid w:val="00A948A5"/>
    <w:rsid w:val="00AA6FEA"/>
    <w:rsid w:val="00B024FF"/>
    <w:rsid w:val="00B262CD"/>
    <w:rsid w:val="00B269C6"/>
    <w:rsid w:val="00B32907"/>
    <w:rsid w:val="00B82A12"/>
    <w:rsid w:val="00B86348"/>
    <w:rsid w:val="00BC20D9"/>
    <w:rsid w:val="00BC3EFA"/>
    <w:rsid w:val="00BF23E1"/>
    <w:rsid w:val="00BF51DE"/>
    <w:rsid w:val="00C05EF8"/>
    <w:rsid w:val="00C10D68"/>
    <w:rsid w:val="00C26ADE"/>
    <w:rsid w:val="00C2744C"/>
    <w:rsid w:val="00C56AA0"/>
    <w:rsid w:val="00C839CC"/>
    <w:rsid w:val="00CB5A63"/>
    <w:rsid w:val="00CC6E5C"/>
    <w:rsid w:val="00CD268B"/>
    <w:rsid w:val="00CE1FE9"/>
    <w:rsid w:val="00D21C48"/>
    <w:rsid w:val="00D55C95"/>
    <w:rsid w:val="00D62B1B"/>
    <w:rsid w:val="00D84BD1"/>
    <w:rsid w:val="00DE39F0"/>
    <w:rsid w:val="00E43CB0"/>
    <w:rsid w:val="00E44C59"/>
    <w:rsid w:val="00E4703D"/>
    <w:rsid w:val="00E7056A"/>
    <w:rsid w:val="00E9343C"/>
    <w:rsid w:val="00EA7186"/>
    <w:rsid w:val="00EF7890"/>
    <w:rsid w:val="00F17865"/>
    <w:rsid w:val="00F2107B"/>
    <w:rsid w:val="00F7752A"/>
    <w:rsid w:val="00F970D5"/>
    <w:rsid w:val="00FE2B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7F72"/>
    <w:rPr>
      <w:rFonts w:ascii="Calibri" w:hAnsi="Calibri" w:cs="Times New Roman"/>
      <w:lang w:eastAsia="ru-RU"/>
    </w:rPr>
  </w:style>
  <w:style w:type="paragraph" w:styleId="2">
    <w:name w:val="heading 2"/>
    <w:basedOn w:val="a"/>
    <w:link w:val="20"/>
    <w:uiPriority w:val="9"/>
    <w:semiHidden/>
    <w:unhideWhenUsed/>
    <w:qFormat/>
    <w:rsid w:val="00057F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5F6F9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next w:val="a"/>
    <w:uiPriority w:val="1"/>
    <w:qFormat/>
    <w:rsid w:val="00962381"/>
    <w:pPr>
      <w:spacing w:before="120" w:after="120" w:line="240" w:lineRule="auto"/>
      <w:jc w:val="both"/>
    </w:pPr>
    <w:rPr>
      <w:rFonts w:ascii="Times New Roman" w:hAnsi="Times New Roman" w:cs="Times New Roman"/>
      <w:color w:val="000000"/>
      <w:sz w:val="24"/>
      <w:szCs w:val="18"/>
      <w:lang w:eastAsia="ru-RU"/>
    </w:rPr>
  </w:style>
  <w:style w:type="paragraph" w:styleId="a4">
    <w:name w:val="List Paragraph"/>
    <w:aliases w:val="Мой"/>
    <w:basedOn w:val="a"/>
    <w:uiPriority w:val="34"/>
    <w:qFormat/>
    <w:rsid w:val="00962381"/>
    <w:pPr>
      <w:spacing w:before="120" w:after="120" w:line="240" w:lineRule="auto"/>
      <w:contextualSpacing/>
      <w:jc w:val="both"/>
    </w:pPr>
    <w:rPr>
      <w:rFonts w:ascii="Times New Roman" w:hAnsi="Times New Roman"/>
      <w:color w:val="000000"/>
      <w:sz w:val="24"/>
      <w:szCs w:val="18"/>
    </w:rPr>
  </w:style>
  <w:style w:type="paragraph" w:styleId="a5">
    <w:name w:val="Body Text"/>
    <w:basedOn w:val="a"/>
    <w:link w:val="a6"/>
    <w:uiPriority w:val="99"/>
    <w:semiHidden/>
    <w:unhideWhenUsed/>
    <w:rsid w:val="00962381"/>
    <w:pPr>
      <w:spacing w:after="120"/>
    </w:pPr>
  </w:style>
  <w:style w:type="character" w:customStyle="1" w:styleId="a6">
    <w:name w:val="Основной текст Знак"/>
    <w:basedOn w:val="a0"/>
    <w:link w:val="a5"/>
    <w:uiPriority w:val="99"/>
    <w:semiHidden/>
    <w:rsid w:val="00962381"/>
  </w:style>
  <w:style w:type="character" w:customStyle="1" w:styleId="20">
    <w:name w:val="Заголовок 2 Знак"/>
    <w:basedOn w:val="a0"/>
    <w:link w:val="2"/>
    <w:uiPriority w:val="9"/>
    <w:semiHidden/>
    <w:rsid w:val="00057F72"/>
    <w:rPr>
      <w:rFonts w:ascii="Calibri" w:hAnsi="Calibri" w:cs="Times New Roman"/>
      <w:b/>
      <w:bCs/>
      <w:sz w:val="36"/>
      <w:szCs w:val="36"/>
      <w:lang w:eastAsia="ru-RU"/>
    </w:rPr>
  </w:style>
  <w:style w:type="character" w:customStyle="1" w:styleId="sm4">
    <w:name w:val="sm4"/>
    <w:basedOn w:val="a0"/>
    <w:rsid w:val="00057F72"/>
  </w:style>
  <w:style w:type="character" w:customStyle="1" w:styleId="usd3">
    <w:name w:val="usd3"/>
    <w:basedOn w:val="a0"/>
    <w:rsid w:val="00057F72"/>
  </w:style>
  <w:style w:type="character" w:styleId="a7">
    <w:name w:val="Hyperlink"/>
    <w:basedOn w:val="a0"/>
    <w:uiPriority w:val="99"/>
    <w:semiHidden/>
    <w:unhideWhenUsed/>
    <w:rsid w:val="00C56AA0"/>
    <w:rPr>
      <w:color w:val="0053A0"/>
      <w:u w:val="single"/>
    </w:rPr>
  </w:style>
  <w:style w:type="paragraph" w:styleId="a8">
    <w:name w:val="Normal (Web)"/>
    <w:basedOn w:val="a"/>
    <w:uiPriority w:val="99"/>
    <w:unhideWhenUsed/>
    <w:rsid w:val="00153391"/>
    <w:pPr>
      <w:spacing w:before="150" w:after="0" w:line="240" w:lineRule="auto"/>
      <w:jc w:val="both"/>
    </w:pPr>
    <w:rPr>
      <w:rFonts w:ascii="Arial" w:hAnsi="Arial" w:cs="Arial"/>
      <w:sz w:val="24"/>
      <w:szCs w:val="24"/>
    </w:rPr>
  </w:style>
  <w:style w:type="paragraph" w:customStyle="1" w:styleId="Pa6">
    <w:name w:val="Pa6"/>
    <w:basedOn w:val="a"/>
    <w:next w:val="a"/>
    <w:uiPriority w:val="99"/>
    <w:rsid w:val="008D1EC0"/>
    <w:pPr>
      <w:autoSpaceDE w:val="0"/>
      <w:autoSpaceDN w:val="0"/>
      <w:adjustRightInd w:val="0"/>
      <w:spacing w:after="0" w:line="161" w:lineRule="atLeast"/>
    </w:pPr>
    <w:rPr>
      <w:rFonts w:ascii="Tahoma" w:hAnsi="Tahoma" w:cs="Tahoma"/>
      <w:sz w:val="24"/>
      <w:szCs w:val="24"/>
      <w:lang w:eastAsia="en-US"/>
    </w:rPr>
  </w:style>
  <w:style w:type="paragraph" w:styleId="a9">
    <w:name w:val="Plain Text"/>
    <w:basedOn w:val="a"/>
    <w:link w:val="aa"/>
    <w:uiPriority w:val="99"/>
    <w:unhideWhenUsed/>
    <w:rsid w:val="005D54B2"/>
    <w:pPr>
      <w:spacing w:after="0" w:line="240" w:lineRule="auto"/>
    </w:pPr>
    <w:rPr>
      <w:rFonts w:ascii="Consolas" w:hAnsi="Consolas"/>
      <w:sz w:val="21"/>
      <w:szCs w:val="21"/>
    </w:rPr>
  </w:style>
  <w:style w:type="character" w:customStyle="1" w:styleId="aa">
    <w:name w:val="Текст Знак"/>
    <w:basedOn w:val="a0"/>
    <w:link w:val="a9"/>
    <w:uiPriority w:val="99"/>
    <w:rsid w:val="005D54B2"/>
    <w:rPr>
      <w:rFonts w:ascii="Consolas" w:hAnsi="Consolas" w:cs="Times New Roman"/>
      <w:sz w:val="21"/>
      <w:szCs w:val="21"/>
      <w:lang w:eastAsia="ru-RU"/>
    </w:rPr>
  </w:style>
  <w:style w:type="paragraph" w:customStyle="1" w:styleId="Default">
    <w:name w:val="Default"/>
    <w:rsid w:val="003A791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header"/>
    <w:basedOn w:val="a"/>
    <w:link w:val="ac"/>
    <w:rsid w:val="00210E83"/>
    <w:pPr>
      <w:tabs>
        <w:tab w:val="center" w:pos="4677"/>
        <w:tab w:val="right" w:pos="9355"/>
      </w:tabs>
      <w:spacing w:after="0" w:line="240" w:lineRule="auto"/>
    </w:pPr>
    <w:rPr>
      <w:rFonts w:ascii="Times New Roman" w:eastAsia="Times New Roman" w:hAnsi="Times New Roman"/>
      <w:sz w:val="24"/>
      <w:szCs w:val="24"/>
    </w:rPr>
  </w:style>
  <w:style w:type="character" w:customStyle="1" w:styleId="ac">
    <w:name w:val="Верхний колонтитул Знак"/>
    <w:basedOn w:val="a0"/>
    <w:link w:val="ab"/>
    <w:rsid w:val="00210E83"/>
    <w:rPr>
      <w:rFonts w:ascii="Times New Roman" w:eastAsia="Times New Roman" w:hAnsi="Times New Roman" w:cs="Times New Roman"/>
      <w:sz w:val="24"/>
      <w:szCs w:val="24"/>
      <w:lang w:eastAsia="ru-RU"/>
    </w:rPr>
  </w:style>
  <w:style w:type="character" w:customStyle="1" w:styleId="apple-style-span">
    <w:name w:val="apple-style-span"/>
    <w:basedOn w:val="a0"/>
    <w:rsid w:val="0034349A"/>
  </w:style>
  <w:style w:type="character" w:customStyle="1" w:styleId="30">
    <w:name w:val="Заголовок 3 Знак"/>
    <w:basedOn w:val="a0"/>
    <w:link w:val="3"/>
    <w:uiPriority w:val="9"/>
    <w:semiHidden/>
    <w:rsid w:val="005F6F9D"/>
    <w:rPr>
      <w:rFonts w:asciiTheme="majorHAnsi" w:eastAsiaTheme="majorEastAsia" w:hAnsiTheme="majorHAnsi" w:cstheme="majorBidi"/>
      <w:b/>
      <w:bCs/>
      <w:color w:val="4F81BD" w:themeColor="accent1"/>
      <w:lang w:eastAsia="ru-RU"/>
    </w:rPr>
  </w:style>
  <w:style w:type="paragraph" w:customStyle="1" w:styleId="default0">
    <w:name w:val="default"/>
    <w:basedOn w:val="a"/>
    <w:rsid w:val="005200B1"/>
    <w:pPr>
      <w:spacing w:before="100" w:beforeAutospacing="1" w:after="100" w:afterAutospacing="1" w:line="240" w:lineRule="auto"/>
    </w:pPr>
    <w:rPr>
      <w:rFonts w:ascii="Times New Roman" w:hAnsi="Times New Roman"/>
      <w:color w:val="000000"/>
      <w:sz w:val="24"/>
      <w:szCs w:val="24"/>
    </w:rPr>
  </w:style>
  <w:style w:type="paragraph" w:styleId="ad">
    <w:name w:val="Balloon Text"/>
    <w:basedOn w:val="a"/>
    <w:link w:val="ae"/>
    <w:uiPriority w:val="99"/>
    <w:semiHidden/>
    <w:unhideWhenUsed/>
    <w:rsid w:val="005473A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473A8"/>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9521432">
      <w:bodyDiv w:val="1"/>
      <w:marLeft w:val="0"/>
      <w:marRight w:val="0"/>
      <w:marTop w:val="0"/>
      <w:marBottom w:val="0"/>
      <w:divBdr>
        <w:top w:val="none" w:sz="0" w:space="0" w:color="auto"/>
        <w:left w:val="none" w:sz="0" w:space="0" w:color="auto"/>
        <w:bottom w:val="none" w:sz="0" w:space="0" w:color="auto"/>
        <w:right w:val="none" w:sz="0" w:space="0" w:color="auto"/>
      </w:divBdr>
    </w:div>
    <w:div w:id="166483367">
      <w:bodyDiv w:val="1"/>
      <w:marLeft w:val="0"/>
      <w:marRight w:val="0"/>
      <w:marTop w:val="0"/>
      <w:marBottom w:val="0"/>
      <w:divBdr>
        <w:top w:val="none" w:sz="0" w:space="0" w:color="auto"/>
        <w:left w:val="none" w:sz="0" w:space="0" w:color="auto"/>
        <w:bottom w:val="none" w:sz="0" w:space="0" w:color="auto"/>
        <w:right w:val="none" w:sz="0" w:space="0" w:color="auto"/>
      </w:divBdr>
      <w:divsChild>
        <w:div w:id="1295909732">
          <w:marLeft w:val="0"/>
          <w:marRight w:val="0"/>
          <w:marTop w:val="0"/>
          <w:marBottom w:val="0"/>
          <w:divBdr>
            <w:top w:val="none" w:sz="0" w:space="0" w:color="auto"/>
            <w:left w:val="none" w:sz="0" w:space="0" w:color="auto"/>
            <w:bottom w:val="none" w:sz="0" w:space="0" w:color="auto"/>
            <w:right w:val="none" w:sz="0" w:space="0" w:color="auto"/>
          </w:divBdr>
          <w:divsChild>
            <w:div w:id="465659946">
              <w:marLeft w:val="0"/>
              <w:marRight w:val="0"/>
              <w:marTop w:val="0"/>
              <w:marBottom w:val="0"/>
              <w:divBdr>
                <w:top w:val="none" w:sz="0" w:space="0" w:color="auto"/>
                <w:left w:val="none" w:sz="0" w:space="0" w:color="auto"/>
                <w:bottom w:val="none" w:sz="0" w:space="0" w:color="auto"/>
                <w:right w:val="none" w:sz="0" w:space="0" w:color="auto"/>
              </w:divBdr>
              <w:divsChild>
                <w:div w:id="924460425">
                  <w:marLeft w:val="0"/>
                  <w:marRight w:val="3420"/>
                  <w:marTop w:val="0"/>
                  <w:marBottom w:val="0"/>
                  <w:divBdr>
                    <w:top w:val="none" w:sz="0" w:space="0" w:color="auto"/>
                    <w:left w:val="none" w:sz="0" w:space="0" w:color="auto"/>
                    <w:bottom w:val="none" w:sz="0" w:space="0" w:color="auto"/>
                    <w:right w:val="none" w:sz="0" w:space="0" w:color="auto"/>
                  </w:divBdr>
                  <w:divsChild>
                    <w:div w:id="460853724">
                      <w:marLeft w:val="0"/>
                      <w:marRight w:val="0"/>
                      <w:marTop w:val="0"/>
                      <w:marBottom w:val="0"/>
                      <w:divBdr>
                        <w:top w:val="none" w:sz="0" w:space="0" w:color="auto"/>
                        <w:left w:val="none" w:sz="0" w:space="0" w:color="auto"/>
                        <w:bottom w:val="none" w:sz="0" w:space="0" w:color="auto"/>
                        <w:right w:val="none" w:sz="0" w:space="0" w:color="auto"/>
                      </w:divBdr>
                      <w:divsChild>
                        <w:div w:id="293683125">
                          <w:marLeft w:val="623"/>
                          <w:marRight w:val="0"/>
                          <w:marTop w:val="2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2907">
      <w:bodyDiv w:val="1"/>
      <w:marLeft w:val="0"/>
      <w:marRight w:val="0"/>
      <w:marTop w:val="0"/>
      <w:marBottom w:val="0"/>
      <w:divBdr>
        <w:top w:val="none" w:sz="0" w:space="0" w:color="auto"/>
        <w:left w:val="none" w:sz="0" w:space="0" w:color="auto"/>
        <w:bottom w:val="none" w:sz="0" w:space="0" w:color="auto"/>
        <w:right w:val="none" w:sz="0" w:space="0" w:color="auto"/>
      </w:divBdr>
    </w:div>
    <w:div w:id="189685184">
      <w:bodyDiv w:val="1"/>
      <w:marLeft w:val="0"/>
      <w:marRight w:val="0"/>
      <w:marTop w:val="0"/>
      <w:marBottom w:val="0"/>
      <w:divBdr>
        <w:top w:val="none" w:sz="0" w:space="0" w:color="auto"/>
        <w:left w:val="none" w:sz="0" w:space="0" w:color="auto"/>
        <w:bottom w:val="none" w:sz="0" w:space="0" w:color="auto"/>
        <w:right w:val="none" w:sz="0" w:space="0" w:color="auto"/>
      </w:divBdr>
    </w:div>
    <w:div w:id="222109848">
      <w:bodyDiv w:val="1"/>
      <w:marLeft w:val="0"/>
      <w:marRight w:val="0"/>
      <w:marTop w:val="0"/>
      <w:marBottom w:val="0"/>
      <w:divBdr>
        <w:top w:val="none" w:sz="0" w:space="0" w:color="auto"/>
        <w:left w:val="none" w:sz="0" w:space="0" w:color="auto"/>
        <w:bottom w:val="none" w:sz="0" w:space="0" w:color="auto"/>
        <w:right w:val="none" w:sz="0" w:space="0" w:color="auto"/>
      </w:divBdr>
    </w:div>
    <w:div w:id="419721688">
      <w:bodyDiv w:val="1"/>
      <w:marLeft w:val="0"/>
      <w:marRight w:val="0"/>
      <w:marTop w:val="0"/>
      <w:marBottom w:val="0"/>
      <w:divBdr>
        <w:top w:val="none" w:sz="0" w:space="0" w:color="auto"/>
        <w:left w:val="none" w:sz="0" w:space="0" w:color="auto"/>
        <w:bottom w:val="none" w:sz="0" w:space="0" w:color="auto"/>
        <w:right w:val="none" w:sz="0" w:space="0" w:color="auto"/>
      </w:divBdr>
    </w:div>
    <w:div w:id="446971521">
      <w:bodyDiv w:val="1"/>
      <w:marLeft w:val="0"/>
      <w:marRight w:val="0"/>
      <w:marTop w:val="0"/>
      <w:marBottom w:val="0"/>
      <w:divBdr>
        <w:top w:val="none" w:sz="0" w:space="0" w:color="auto"/>
        <w:left w:val="none" w:sz="0" w:space="0" w:color="auto"/>
        <w:bottom w:val="none" w:sz="0" w:space="0" w:color="auto"/>
        <w:right w:val="none" w:sz="0" w:space="0" w:color="auto"/>
      </w:divBdr>
    </w:div>
    <w:div w:id="542987893">
      <w:bodyDiv w:val="1"/>
      <w:marLeft w:val="0"/>
      <w:marRight w:val="0"/>
      <w:marTop w:val="0"/>
      <w:marBottom w:val="0"/>
      <w:divBdr>
        <w:top w:val="none" w:sz="0" w:space="0" w:color="auto"/>
        <w:left w:val="none" w:sz="0" w:space="0" w:color="auto"/>
        <w:bottom w:val="none" w:sz="0" w:space="0" w:color="auto"/>
        <w:right w:val="none" w:sz="0" w:space="0" w:color="auto"/>
      </w:divBdr>
    </w:div>
    <w:div w:id="614941548">
      <w:bodyDiv w:val="1"/>
      <w:marLeft w:val="0"/>
      <w:marRight w:val="0"/>
      <w:marTop w:val="0"/>
      <w:marBottom w:val="0"/>
      <w:divBdr>
        <w:top w:val="none" w:sz="0" w:space="0" w:color="auto"/>
        <w:left w:val="none" w:sz="0" w:space="0" w:color="auto"/>
        <w:bottom w:val="none" w:sz="0" w:space="0" w:color="auto"/>
        <w:right w:val="none" w:sz="0" w:space="0" w:color="auto"/>
      </w:divBdr>
    </w:div>
    <w:div w:id="629285447">
      <w:bodyDiv w:val="1"/>
      <w:marLeft w:val="0"/>
      <w:marRight w:val="0"/>
      <w:marTop w:val="0"/>
      <w:marBottom w:val="0"/>
      <w:divBdr>
        <w:top w:val="none" w:sz="0" w:space="0" w:color="auto"/>
        <w:left w:val="none" w:sz="0" w:space="0" w:color="auto"/>
        <w:bottom w:val="none" w:sz="0" w:space="0" w:color="auto"/>
        <w:right w:val="none" w:sz="0" w:space="0" w:color="auto"/>
      </w:divBdr>
    </w:div>
    <w:div w:id="635837079">
      <w:bodyDiv w:val="1"/>
      <w:marLeft w:val="0"/>
      <w:marRight w:val="0"/>
      <w:marTop w:val="0"/>
      <w:marBottom w:val="0"/>
      <w:divBdr>
        <w:top w:val="none" w:sz="0" w:space="0" w:color="auto"/>
        <w:left w:val="none" w:sz="0" w:space="0" w:color="auto"/>
        <w:bottom w:val="none" w:sz="0" w:space="0" w:color="auto"/>
        <w:right w:val="none" w:sz="0" w:space="0" w:color="auto"/>
      </w:divBdr>
    </w:div>
    <w:div w:id="662709901">
      <w:bodyDiv w:val="1"/>
      <w:marLeft w:val="0"/>
      <w:marRight w:val="0"/>
      <w:marTop w:val="0"/>
      <w:marBottom w:val="0"/>
      <w:divBdr>
        <w:top w:val="none" w:sz="0" w:space="0" w:color="auto"/>
        <w:left w:val="none" w:sz="0" w:space="0" w:color="auto"/>
        <w:bottom w:val="none" w:sz="0" w:space="0" w:color="auto"/>
        <w:right w:val="none" w:sz="0" w:space="0" w:color="auto"/>
      </w:divBdr>
    </w:div>
    <w:div w:id="704253876">
      <w:bodyDiv w:val="1"/>
      <w:marLeft w:val="0"/>
      <w:marRight w:val="0"/>
      <w:marTop w:val="0"/>
      <w:marBottom w:val="0"/>
      <w:divBdr>
        <w:top w:val="none" w:sz="0" w:space="0" w:color="auto"/>
        <w:left w:val="none" w:sz="0" w:space="0" w:color="auto"/>
        <w:bottom w:val="none" w:sz="0" w:space="0" w:color="auto"/>
        <w:right w:val="none" w:sz="0" w:space="0" w:color="auto"/>
      </w:divBdr>
    </w:div>
    <w:div w:id="728113672">
      <w:bodyDiv w:val="1"/>
      <w:marLeft w:val="0"/>
      <w:marRight w:val="0"/>
      <w:marTop w:val="0"/>
      <w:marBottom w:val="0"/>
      <w:divBdr>
        <w:top w:val="none" w:sz="0" w:space="0" w:color="auto"/>
        <w:left w:val="none" w:sz="0" w:space="0" w:color="auto"/>
        <w:bottom w:val="none" w:sz="0" w:space="0" w:color="auto"/>
        <w:right w:val="none" w:sz="0" w:space="0" w:color="auto"/>
      </w:divBdr>
    </w:div>
    <w:div w:id="750465560">
      <w:bodyDiv w:val="1"/>
      <w:marLeft w:val="0"/>
      <w:marRight w:val="0"/>
      <w:marTop w:val="0"/>
      <w:marBottom w:val="0"/>
      <w:divBdr>
        <w:top w:val="none" w:sz="0" w:space="0" w:color="auto"/>
        <w:left w:val="none" w:sz="0" w:space="0" w:color="auto"/>
        <w:bottom w:val="none" w:sz="0" w:space="0" w:color="auto"/>
        <w:right w:val="none" w:sz="0" w:space="0" w:color="auto"/>
      </w:divBdr>
    </w:div>
    <w:div w:id="933903896">
      <w:bodyDiv w:val="1"/>
      <w:marLeft w:val="0"/>
      <w:marRight w:val="0"/>
      <w:marTop w:val="0"/>
      <w:marBottom w:val="0"/>
      <w:divBdr>
        <w:top w:val="none" w:sz="0" w:space="0" w:color="auto"/>
        <w:left w:val="none" w:sz="0" w:space="0" w:color="auto"/>
        <w:bottom w:val="none" w:sz="0" w:space="0" w:color="auto"/>
        <w:right w:val="none" w:sz="0" w:space="0" w:color="auto"/>
      </w:divBdr>
    </w:div>
    <w:div w:id="1050034281">
      <w:bodyDiv w:val="1"/>
      <w:marLeft w:val="0"/>
      <w:marRight w:val="0"/>
      <w:marTop w:val="0"/>
      <w:marBottom w:val="0"/>
      <w:divBdr>
        <w:top w:val="none" w:sz="0" w:space="0" w:color="auto"/>
        <w:left w:val="none" w:sz="0" w:space="0" w:color="auto"/>
        <w:bottom w:val="none" w:sz="0" w:space="0" w:color="auto"/>
        <w:right w:val="none" w:sz="0" w:space="0" w:color="auto"/>
      </w:divBdr>
    </w:div>
    <w:div w:id="1081096886">
      <w:bodyDiv w:val="1"/>
      <w:marLeft w:val="0"/>
      <w:marRight w:val="0"/>
      <w:marTop w:val="0"/>
      <w:marBottom w:val="0"/>
      <w:divBdr>
        <w:top w:val="none" w:sz="0" w:space="0" w:color="auto"/>
        <w:left w:val="none" w:sz="0" w:space="0" w:color="auto"/>
        <w:bottom w:val="none" w:sz="0" w:space="0" w:color="auto"/>
        <w:right w:val="none" w:sz="0" w:space="0" w:color="auto"/>
      </w:divBdr>
    </w:div>
    <w:div w:id="1219780861">
      <w:bodyDiv w:val="1"/>
      <w:marLeft w:val="0"/>
      <w:marRight w:val="0"/>
      <w:marTop w:val="0"/>
      <w:marBottom w:val="0"/>
      <w:divBdr>
        <w:top w:val="none" w:sz="0" w:space="0" w:color="auto"/>
        <w:left w:val="none" w:sz="0" w:space="0" w:color="auto"/>
        <w:bottom w:val="none" w:sz="0" w:space="0" w:color="auto"/>
        <w:right w:val="none" w:sz="0" w:space="0" w:color="auto"/>
      </w:divBdr>
    </w:div>
    <w:div w:id="1360618738">
      <w:bodyDiv w:val="1"/>
      <w:marLeft w:val="0"/>
      <w:marRight w:val="0"/>
      <w:marTop w:val="0"/>
      <w:marBottom w:val="0"/>
      <w:divBdr>
        <w:top w:val="none" w:sz="0" w:space="0" w:color="auto"/>
        <w:left w:val="none" w:sz="0" w:space="0" w:color="auto"/>
        <w:bottom w:val="none" w:sz="0" w:space="0" w:color="auto"/>
        <w:right w:val="none" w:sz="0" w:space="0" w:color="auto"/>
      </w:divBdr>
    </w:div>
    <w:div w:id="1369063657">
      <w:bodyDiv w:val="1"/>
      <w:marLeft w:val="0"/>
      <w:marRight w:val="0"/>
      <w:marTop w:val="0"/>
      <w:marBottom w:val="0"/>
      <w:divBdr>
        <w:top w:val="none" w:sz="0" w:space="0" w:color="auto"/>
        <w:left w:val="none" w:sz="0" w:space="0" w:color="auto"/>
        <w:bottom w:val="none" w:sz="0" w:space="0" w:color="auto"/>
        <w:right w:val="none" w:sz="0" w:space="0" w:color="auto"/>
      </w:divBdr>
    </w:div>
    <w:div w:id="1457529518">
      <w:bodyDiv w:val="1"/>
      <w:marLeft w:val="0"/>
      <w:marRight w:val="0"/>
      <w:marTop w:val="0"/>
      <w:marBottom w:val="0"/>
      <w:divBdr>
        <w:top w:val="none" w:sz="0" w:space="0" w:color="auto"/>
        <w:left w:val="none" w:sz="0" w:space="0" w:color="auto"/>
        <w:bottom w:val="none" w:sz="0" w:space="0" w:color="auto"/>
        <w:right w:val="none" w:sz="0" w:space="0" w:color="auto"/>
      </w:divBdr>
    </w:div>
    <w:div w:id="1501890543">
      <w:bodyDiv w:val="1"/>
      <w:marLeft w:val="0"/>
      <w:marRight w:val="0"/>
      <w:marTop w:val="0"/>
      <w:marBottom w:val="0"/>
      <w:divBdr>
        <w:top w:val="none" w:sz="0" w:space="0" w:color="auto"/>
        <w:left w:val="none" w:sz="0" w:space="0" w:color="auto"/>
        <w:bottom w:val="none" w:sz="0" w:space="0" w:color="auto"/>
        <w:right w:val="none" w:sz="0" w:space="0" w:color="auto"/>
      </w:divBdr>
    </w:div>
    <w:div w:id="1535312949">
      <w:bodyDiv w:val="1"/>
      <w:marLeft w:val="0"/>
      <w:marRight w:val="0"/>
      <w:marTop w:val="0"/>
      <w:marBottom w:val="0"/>
      <w:divBdr>
        <w:top w:val="none" w:sz="0" w:space="0" w:color="auto"/>
        <w:left w:val="none" w:sz="0" w:space="0" w:color="auto"/>
        <w:bottom w:val="none" w:sz="0" w:space="0" w:color="auto"/>
        <w:right w:val="none" w:sz="0" w:space="0" w:color="auto"/>
      </w:divBdr>
    </w:div>
    <w:div w:id="1537112507">
      <w:bodyDiv w:val="1"/>
      <w:marLeft w:val="0"/>
      <w:marRight w:val="0"/>
      <w:marTop w:val="0"/>
      <w:marBottom w:val="0"/>
      <w:divBdr>
        <w:top w:val="none" w:sz="0" w:space="0" w:color="auto"/>
        <w:left w:val="none" w:sz="0" w:space="0" w:color="auto"/>
        <w:bottom w:val="none" w:sz="0" w:space="0" w:color="auto"/>
        <w:right w:val="none" w:sz="0" w:space="0" w:color="auto"/>
      </w:divBdr>
    </w:div>
    <w:div w:id="1544978226">
      <w:bodyDiv w:val="1"/>
      <w:marLeft w:val="0"/>
      <w:marRight w:val="0"/>
      <w:marTop w:val="0"/>
      <w:marBottom w:val="0"/>
      <w:divBdr>
        <w:top w:val="none" w:sz="0" w:space="0" w:color="auto"/>
        <w:left w:val="none" w:sz="0" w:space="0" w:color="auto"/>
        <w:bottom w:val="none" w:sz="0" w:space="0" w:color="auto"/>
        <w:right w:val="none" w:sz="0" w:space="0" w:color="auto"/>
      </w:divBdr>
    </w:div>
    <w:div w:id="1594240842">
      <w:bodyDiv w:val="1"/>
      <w:marLeft w:val="0"/>
      <w:marRight w:val="0"/>
      <w:marTop w:val="0"/>
      <w:marBottom w:val="0"/>
      <w:divBdr>
        <w:top w:val="none" w:sz="0" w:space="0" w:color="auto"/>
        <w:left w:val="none" w:sz="0" w:space="0" w:color="auto"/>
        <w:bottom w:val="none" w:sz="0" w:space="0" w:color="auto"/>
        <w:right w:val="none" w:sz="0" w:space="0" w:color="auto"/>
      </w:divBdr>
    </w:div>
    <w:div w:id="1674911322">
      <w:bodyDiv w:val="1"/>
      <w:marLeft w:val="0"/>
      <w:marRight w:val="0"/>
      <w:marTop w:val="0"/>
      <w:marBottom w:val="0"/>
      <w:divBdr>
        <w:top w:val="none" w:sz="0" w:space="0" w:color="auto"/>
        <w:left w:val="none" w:sz="0" w:space="0" w:color="auto"/>
        <w:bottom w:val="none" w:sz="0" w:space="0" w:color="auto"/>
        <w:right w:val="none" w:sz="0" w:space="0" w:color="auto"/>
      </w:divBdr>
    </w:div>
    <w:div w:id="1749156888">
      <w:bodyDiv w:val="1"/>
      <w:marLeft w:val="0"/>
      <w:marRight w:val="0"/>
      <w:marTop w:val="0"/>
      <w:marBottom w:val="0"/>
      <w:divBdr>
        <w:top w:val="none" w:sz="0" w:space="0" w:color="auto"/>
        <w:left w:val="none" w:sz="0" w:space="0" w:color="auto"/>
        <w:bottom w:val="none" w:sz="0" w:space="0" w:color="auto"/>
        <w:right w:val="none" w:sz="0" w:space="0" w:color="auto"/>
      </w:divBdr>
    </w:div>
    <w:div w:id="1820489235">
      <w:bodyDiv w:val="1"/>
      <w:marLeft w:val="0"/>
      <w:marRight w:val="0"/>
      <w:marTop w:val="0"/>
      <w:marBottom w:val="0"/>
      <w:divBdr>
        <w:top w:val="none" w:sz="0" w:space="0" w:color="auto"/>
        <w:left w:val="none" w:sz="0" w:space="0" w:color="auto"/>
        <w:bottom w:val="none" w:sz="0" w:space="0" w:color="auto"/>
        <w:right w:val="none" w:sz="0" w:space="0" w:color="auto"/>
      </w:divBdr>
    </w:div>
    <w:div w:id="1928536089">
      <w:bodyDiv w:val="1"/>
      <w:marLeft w:val="0"/>
      <w:marRight w:val="0"/>
      <w:marTop w:val="0"/>
      <w:marBottom w:val="0"/>
      <w:divBdr>
        <w:top w:val="none" w:sz="0" w:space="0" w:color="auto"/>
        <w:left w:val="none" w:sz="0" w:space="0" w:color="auto"/>
        <w:bottom w:val="none" w:sz="0" w:space="0" w:color="auto"/>
        <w:right w:val="none" w:sz="0" w:space="0" w:color="auto"/>
      </w:divBdr>
    </w:div>
    <w:div w:id="1931346854">
      <w:bodyDiv w:val="1"/>
      <w:marLeft w:val="0"/>
      <w:marRight w:val="0"/>
      <w:marTop w:val="0"/>
      <w:marBottom w:val="0"/>
      <w:divBdr>
        <w:top w:val="none" w:sz="0" w:space="0" w:color="auto"/>
        <w:left w:val="none" w:sz="0" w:space="0" w:color="auto"/>
        <w:bottom w:val="none" w:sz="0" w:space="0" w:color="auto"/>
        <w:right w:val="none" w:sz="0" w:space="0" w:color="auto"/>
      </w:divBdr>
    </w:div>
    <w:div w:id="1935430546">
      <w:bodyDiv w:val="1"/>
      <w:marLeft w:val="0"/>
      <w:marRight w:val="0"/>
      <w:marTop w:val="0"/>
      <w:marBottom w:val="0"/>
      <w:divBdr>
        <w:top w:val="none" w:sz="0" w:space="0" w:color="auto"/>
        <w:left w:val="none" w:sz="0" w:space="0" w:color="auto"/>
        <w:bottom w:val="none" w:sz="0" w:space="0" w:color="auto"/>
        <w:right w:val="none" w:sz="0" w:space="0" w:color="auto"/>
      </w:divBdr>
    </w:div>
    <w:div w:id="2048331987">
      <w:bodyDiv w:val="1"/>
      <w:marLeft w:val="0"/>
      <w:marRight w:val="0"/>
      <w:marTop w:val="0"/>
      <w:marBottom w:val="0"/>
      <w:divBdr>
        <w:top w:val="none" w:sz="0" w:space="0" w:color="auto"/>
        <w:left w:val="none" w:sz="0" w:space="0" w:color="auto"/>
        <w:bottom w:val="none" w:sz="0" w:space="0" w:color="auto"/>
        <w:right w:val="none" w:sz="0" w:space="0" w:color="auto"/>
      </w:divBdr>
    </w:div>
    <w:div w:id="2056273251">
      <w:bodyDiv w:val="1"/>
      <w:marLeft w:val="0"/>
      <w:marRight w:val="0"/>
      <w:marTop w:val="0"/>
      <w:marBottom w:val="0"/>
      <w:divBdr>
        <w:top w:val="none" w:sz="0" w:space="0" w:color="auto"/>
        <w:left w:val="none" w:sz="0" w:space="0" w:color="auto"/>
        <w:bottom w:val="none" w:sz="0" w:space="0" w:color="auto"/>
        <w:right w:val="none" w:sz="0" w:space="0" w:color="auto"/>
      </w:divBdr>
    </w:div>
    <w:div w:id="2108041634">
      <w:bodyDiv w:val="1"/>
      <w:marLeft w:val="0"/>
      <w:marRight w:val="0"/>
      <w:marTop w:val="0"/>
      <w:marBottom w:val="0"/>
      <w:divBdr>
        <w:top w:val="none" w:sz="0" w:space="0" w:color="auto"/>
        <w:left w:val="none" w:sz="0" w:space="0" w:color="auto"/>
        <w:bottom w:val="none" w:sz="0" w:space="0" w:color="auto"/>
        <w:right w:val="none" w:sz="0" w:space="0" w:color="auto"/>
      </w:divBdr>
    </w:div>
    <w:div w:id="2123260613">
      <w:bodyDiv w:val="1"/>
      <w:marLeft w:val="0"/>
      <w:marRight w:val="0"/>
      <w:marTop w:val="0"/>
      <w:marBottom w:val="0"/>
      <w:divBdr>
        <w:top w:val="none" w:sz="0" w:space="0" w:color="auto"/>
        <w:left w:val="none" w:sz="0" w:space="0" w:color="auto"/>
        <w:bottom w:val="none" w:sz="0" w:space="0" w:color="auto"/>
        <w:right w:val="none" w:sz="0" w:space="0" w:color="auto"/>
      </w:divBdr>
    </w:div>
    <w:div w:id="212515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ovoronina</dc:creator>
  <cp:keywords/>
  <dc:description/>
  <cp:lastModifiedBy>ovoronina</cp:lastModifiedBy>
  <cp:revision>3</cp:revision>
  <dcterms:created xsi:type="dcterms:W3CDTF">2011-09-26T12:24:00Z</dcterms:created>
  <dcterms:modified xsi:type="dcterms:W3CDTF">2011-09-26T12:25:00Z</dcterms:modified>
</cp:coreProperties>
</file>