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E8" w:rsidRDefault="00B334E8" w:rsidP="00276F04">
      <w:pPr>
        <w:jc w:val="center"/>
        <w:rPr>
          <w:b/>
          <w:bCs/>
          <w:sz w:val="36"/>
          <w:szCs w:val="36"/>
        </w:rPr>
      </w:pPr>
      <w:r>
        <w:rPr>
          <w:b/>
          <w:bCs/>
          <w:sz w:val="36"/>
          <w:szCs w:val="36"/>
        </w:rPr>
        <w:t>Рынок акций</w:t>
      </w:r>
    </w:p>
    <w:p w:rsidR="00276F04" w:rsidRDefault="00276F04" w:rsidP="00276F04">
      <w:pPr>
        <w:jc w:val="both"/>
        <w:rPr>
          <w:b/>
          <w:bCs/>
          <w:sz w:val="36"/>
          <w:szCs w:val="36"/>
        </w:rPr>
      </w:pPr>
    </w:p>
    <w:p w:rsidR="00B334E8" w:rsidRDefault="00B334E8" w:rsidP="00276F04">
      <w:pPr>
        <w:spacing w:after="240"/>
        <w:jc w:val="both"/>
      </w:pPr>
      <w:r>
        <w:rPr>
          <w:noProof/>
        </w:rPr>
        <w:drawing>
          <wp:inline distT="0" distB="0" distL="0" distR="0">
            <wp:extent cx="1190625" cy="1190625"/>
            <wp:effectExtent l="19050" t="0" r="9525" b="0"/>
            <wp:docPr id="1" name="Рисунок 16" descr="cid:image002.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id:image002.jpg@01CE7BFE.B94C5460"/>
                    <pic:cNvPicPr>
                      <a:picLocks noChangeAspect="1" noChangeArrowheads="1"/>
                    </pic:cNvPicPr>
                  </pic:nvPicPr>
                  <pic:blipFill>
                    <a:blip r:embed="rId4" r:link="rId5"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276F04" w:rsidRDefault="00276F04" w:rsidP="00276F04">
      <w:pPr>
        <w:spacing w:after="240"/>
        <w:jc w:val="both"/>
      </w:pPr>
    </w:p>
    <w:p w:rsidR="00276F04" w:rsidRDefault="00B334E8" w:rsidP="00276F04">
      <w:pPr>
        <w:jc w:val="both"/>
        <w:rPr>
          <w:b/>
          <w:bCs/>
          <w:sz w:val="28"/>
          <w:szCs w:val="28"/>
        </w:rPr>
      </w:pPr>
      <w:r>
        <w:rPr>
          <w:b/>
          <w:bCs/>
          <w:sz w:val="28"/>
          <w:szCs w:val="28"/>
        </w:rPr>
        <w:t xml:space="preserve">Регина </w:t>
      </w:r>
      <w:proofErr w:type="spellStart"/>
      <w:r>
        <w:rPr>
          <w:b/>
          <w:bCs/>
          <w:sz w:val="28"/>
          <w:szCs w:val="28"/>
        </w:rPr>
        <w:t>Гирфанова</w:t>
      </w:r>
      <w:proofErr w:type="spellEnd"/>
      <w:r>
        <w:rPr>
          <w:b/>
          <w:bCs/>
          <w:sz w:val="28"/>
          <w:szCs w:val="28"/>
        </w:rPr>
        <w:t>,</w:t>
      </w:r>
    </w:p>
    <w:p w:rsidR="00B334E8" w:rsidRPr="00B334E8" w:rsidRDefault="00B334E8" w:rsidP="00276F04">
      <w:pPr>
        <w:jc w:val="both"/>
        <w:rPr>
          <w:rFonts w:ascii="Calibri" w:hAnsi="Calibri"/>
          <w:b/>
          <w:bCs/>
          <w:sz w:val="28"/>
          <w:szCs w:val="28"/>
        </w:rPr>
      </w:pPr>
      <w:r>
        <w:rPr>
          <w:b/>
          <w:bCs/>
          <w:sz w:val="28"/>
          <w:szCs w:val="28"/>
        </w:rPr>
        <w:br/>
        <w:t>портфельный управляющий УК «Альфа-Капитал»</w:t>
      </w:r>
    </w:p>
    <w:p w:rsidR="00B334E8" w:rsidRPr="00B334E8" w:rsidRDefault="00B334E8" w:rsidP="00276F04">
      <w:pPr>
        <w:jc w:val="both"/>
        <w:rPr>
          <w:b/>
          <w:bCs/>
          <w:sz w:val="22"/>
          <w:szCs w:val="22"/>
        </w:rPr>
      </w:pPr>
    </w:p>
    <w:p w:rsidR="00B334E8" w:rsidRDefault="00263849" w:rsidP="00276F04">
      <w:pPr>
        <w:jc w:val="both"/>
      </w:pPr>
      <w:r>
        <w:t>Минувшая</w:t>
      </w:r>
      <w:r w:rsidR="00B334E8">
        <w:t xml:space="preserve"> неделя прошла без потрясений, обошлось без досадных ошибок, новости выходили больше положительные.</w:t>
      </w:r>
    </w:p>
    <w:p w:rsidR="00276F04" w:rsidRDefault="00276F04" w:rsidP="00276F04">
      <w:pPr>
        <w:jc w:val="both"/>
      </w:pPr>
    </w:p>
    <w:p w:rsidR="00B334E8" w:rsidRDefault="00B334E8" w:rsidP="00276F04">
      <w:pPr>
        <w:jc w:val="both"/>
      </w:pPr>
      <w:r>
        <w:t xml:space="preserve">Стоимость акций </w:t>
      </w:r>
      <w:r w:rsidR="00861D36">
        <w:t>"</w:t>
      </w:r>
      <w:proofErr w:type="spellStart"/>
      <w:r w:rsidR="00861D36">
        <w:t>Башнефти</w:t>
      </w:r>
      <w:proofErr w:type="spellEnd"/>
      <w:r w:rsidR="00861D36">
        <w:t>"</w:t>
      </w:r>
      <w:r>
        <w:t xml:space="preserve"> довольно быстро восстановилась после дивидендной отсечки. Компания подтвердила в очередной раз о намерении провести </w:t>
      </w:r>
      <w:proofErr w:type="spellStart"/>
      <w:r>
        <w:t>IPO</w:t>
      </w:r>
      <w:proofErr w:type="spellEnd"/>
      <w:r>
        <w:t xml:space="preserve"> в Лондоне, кроме того, акции компании пользовались спросом на ожиданиях сильной отчетности за третий квартал. Тем самым, акции прибавили за неделю почти 8%.</w:t>
      </w:r>
    </w:p>
    <w:p w:rsidR="00276F04" w:rsidRDefault="00276F04" w:rsidP="00276F04">
      <w:pPr>
        <w:jc w:val="both"/>
      </w:pPr>
    </w:p>
    <w:p w:rsidR="00B334E8" w:rsidRDefault="00B334E8" w:rsidP="00276F04">
      <w:pPr>
        <w:jc w:val="both"/>
      </w:pPr>
      <w:r>
        <w:t>«Ямал развитие» подписало соглашение с  </w:t>
      </w:r>
      <w:proofErr w:type="spellStart"/>
      <w:r>
        <w:t>Eni</w:t>
      </w:r>
      <w:proofErr w:type="spellEnd"/>
      <w:r>
        <w:t xml:space="preserve"> о выкупе 29,4% акций </w:t>
      </w:r>
      <w:r w:rsidR="00861D36">
        <w:t>"</w:t>
      </w:r>
      <w:proofErr w:type="spellStart"/>
      <w:r>
        <w:t>СеверЭнергии</w:t>
      </w:r>
      <w:proofErr w:type="spellEnd"/>
      <w:r w:rsidR="00861D36">
        <w:t>"</w:t>
      </w:r>
      <w:r>
        <w:t xml:space="preserve">. Учитывая качество актива и структуру сделки, мы считаем, что новость позитивна для </w:t>
      </w:r>
      <w:r w:rsidR="00861D36">
        <w:t>"</w:t>
      </w:r>
      <w:proofErr w:type="spellStart"/>
      <w:r>
        <w:t>Новатека</w:t>
      </w:r>
      <w:proofErr w:type="spellEnd"/>
      <w:r w:rsidR="00861D36">
        <w:t>"</w:t>
      </w:r>
      <w:r>
        <w:t xml:space="preserve"> и </w:t>
      </w:r>
      <w:r w:rsidR="00861D36">
        <w:t>"</w:t>
      </w:r>
      <w:proofErr w:type="spellStart"/>
      <w:r>
        <w:t>Газпромнефти</w:t>
      </w:r>
      <w:proofErr w:type="spellEnd"/>
      <w:r>
        <w:t>."</w:t>
      </w:r>
    </w:p>
    <w:p w:rsidR="00B334E8" w:rsidRDefault="00B334E8" w:rsidP="00276F04">
      <w:pPr>
        <w:jc w:val="both"/>
      </w:pPr>
    </w:p>
    <w:p w:rsidR="00B334E8" w:rsidRDefault="00B334E8" w:rsidP="00276F04">
      <w:pPr>
        <w:spacing w:after="240"/>
        <w:jc w:val="both"/>
      </w:pPr>
      <w:r>
        <w:rPr>
          <w:noProof/>
        </w:rPr>
        <w:drawing>
          <wp:inline distT="0" distB="0" distL="0" distR="0">
            <wp:extent cx="1190625" cy="1190625"/>
            <wp:effectExtent l="19050" t="0" r="9525" b="0"/>
            <wp:docPr id="2" name="Рисунок 19"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id:image002.jpg@01CE7D8D.1A6B3F60"/>
                    <pic:cNvPicPr>
                      <a:picLocks noChangeAspect="1" noChangeArrowheads="1"/>
                    </pic:cNvPicPr>
                  </pic:nvPicPr>
                  <pic:blipFill>
                    <a:blip r:embed="rId6" r:link="rId7"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276F04" w:rsidRDefault="00B334E8" w:rsidP="00276F04">
      <w:pPr>
        <w:jc w:val="both"/>
        <w:rPr>
          <w:b/>
          <w:bCs/>
          <w:sz w:val="28"/>
          <w:szCs w:val="28"/>
        </w:rPr>
      </w:pPr>
      <w:r>
        <w:rPr>
          <w:b/>
          <w:bCs/>
          <w:sz w:val="28"/>
          <w:szCs w:val="28"/>
        </w:rPr>
        <w:t>Владимир Брагин,</w:t>
      </w:r>
    </w:p>
    <w:p w:rsidR="00276F04" w:rsidRDefault="00276F04" w:rsidP="00276F04">
      <w:pPr>
        <w:jc w:val="both"/>
        <w:rPr>
          <w:b/>
          <w:bCs/>
          <w:sz w:val="28"/>
          <w:szCs w:val="28"/>
        </w:rPr>
      </w:pPr>
    </w:p>
    <w:p w:rsidR="00B334E8" w:rsidRDefault="00B334E8" w:rsidP="00276F04">
      <w:pPr>
        <w:jc w:val="both"/>
        <w:rPr>
          <w:b/>
          <w:bCs/>
          <w:sz w:val="28"/>
          <w:szCs w:val="28"/>
        </w:rPr>
      </w:pPr>
      <w:r>
        <w:rPr>
          <w:b/>
          <w:bCs/>
          <w:sz w:val="28"/>
          <w:szCs w:val="28"/>
        </w:rPr>
        <w:t>директор по анализу финансовых рынков</w:t>
      </w:r>
      <w:r w:rsidR="00276F04">
        <w:rPr>
          <w:b/>
          <w:bCs/>
          <w:sz w:val="28"/>
          <w:szCs w:val="28"/>
        </w:rPr>
        <w:t xml:space="preserve"> </w:t>
      </w:r>
      <w:r>
        <w:rPr>
          <w:b/>
          <w:bCs/>
          <w:sz w:val="28"/>
          <w:szCs w:val="28"/>
        </w:rPr>
        <w:t>и макроэкономики УК «Альфа-Капитал»</w:t>
      </w:r>
    </w:p>
    <w:p w:rsidR="00B334E8" w:rsidRDefault="00B334E8" w:rsidP="00276F04">
      <w:pPr>
        <w:jc w:val="both"/>
        <w:rPr>
          <w:sz w:val="22"/>
          <w:szCs w:val="22"/>
          <w:lang w:eastAsia="en-US"/>
        </w:rPr>
      </w:pPr>
    </w:p>
    <w:p w:rsidR="00276F04" w:rsidRDefault="00B334E8" w:rsidP="00276F04">
      <w:pPr>
        <w:jc w:val="both"/>
      </w:pPr>
      <w:r>
        <w:t xml:space="preserve">Повышенный интерес инвесторов к развивающимся рынкам, подстегнутый итогами партийного съезда в Китае, не продлился долго. После мощного рывка, развивающиеся рынки снова начали отставать от развитых, в частности от </w:t>
      </w:r>
      <w:proofErr w:type="spellStart"/>
      <w:r>
        <w:t>S&amp;P500</w:t>
      </w:r>
      <w:proofErr w:type="spellEnd"/>
      <w:r>
        <w:t xml:space="preserve">, который обновил очередной исторический максимум, закрывшись выше 1800 пунктов. Правда и </w:t>
      </w:r>
      <w:proofErr w:type="spellStart"/>
      <w:r>
        <w:t>MSCI</w:t>
      </w:r>
      <w:proofErr w:type="spellEnd"/>
      <w:r>
        <w:t xml:space="preserve"> </w:t>
      </w:r>
      <w:proofErr w:type="spellStart"/>
      <w:r>
        <w:t>EM</w:t>
      </w:r>
      <w:proofErr w:type="spellEnd"/>
      <w:r>
        <w:t xml:space="preserve"> смог все-таки закрыть неделю в плюсе, заряда оптимизма первой половины недели </w:t>
      </w:r>
      <w:proofErr w:type="gramStart"/>
      <w:r>
        <w:t>хватило</w:t>
      </w:r>
      <w:proofErr w:type="gramEnd"/>
      <w:r>
        <w:t xml:space="preserve"> чтобы все-таки удержаться в районе +0.2%. Российский акций рынок на этом фоне закрыл прошлую неделю в плюсе, прибавив 0.7%.</w:t>
      </w:r>
    </w:p>
    <w:p w:rsidR="00276F04" w:rsidRDefault="00276F04" w:rsidP="00276F04">
      <w:pPr>
        <w:jc w:val="both"/>
      </w:pPr>
    </w:p>
    <w:p w:rsidR="00B334E8" w:rsidRDefault="00B334E8" w:rsidP="00276F04">
      <w:pPr>
        <w:jc w:val="both"/>
      </w:pPr>
      <w:r>
        <w:t xml:space="preserve">С учетом характера </w:t>
      </w:r>
      <w:proofErr w:type="spellStart"/>
      <w:r>
        <w:t>макростатистики</w:t>
      </w:r>
      <w:proofErr w:type="spellEnd"/>
      <w:r>
        <w:t xml:space="preserve"> по развивающимся рынкам (хуже ожиданий </w:t>
      </w:r>
      <w:proofErr w:type="spellStart"/>
      <w:r>
        <w:t>PMI</w:t>
      </w:r>
      <w:proofErr w:type="spellEnd"/>
      <w:r>
        <w:t xml:space="preserve"> Китая, отсутствие позитивных сюрпризов в других развивающихся экономиках), </w:t>
      </w:r>
      <w:r>
        <w:lastRenderedPageBreak/>
        <w:t xml:space="preserve">инвесторы пока вряд ли будут </w:t>
      </w:r>
      <w:proofErr w:type="spellStart"/>
      <w:r>
        <w:t>реаллоцировать</w:t>
      </w:r>
      <w:proofErr w:type="spellEnd"/>
      <w:r>
        <w:t xml:space="preserve"> средства из </w:t>
      </w:r>
      <w:proofErr w:type="gramStart"/>
      <w:r>
        <w:t>развитых</w:t>
      </w:r>
      <w:proofErr w:type="gramEnd"/>
      <w:r>
        <w:t xml:space="preserve"> в развивающиеся экономики. Тем более, что показатели инфляции в США и Еврозоне указывают на высокие дефляционные риски, бороться с которыми </w:t>
      </w:r>
      <w:proofErr w:type="spellStart"/>
      <w:r>
        <w:t>центробанки</w:t>
      </w:r>
      <w:proofErr w:type="spellEnd"/>
      <w:r>
        <w:t xml:space="preserve"> </w:t>
      </w:r>
      <w:proofErr w:type="gramStart"/>
      <w:r>
        <w:t>могут</w:t>
      </w:r>
      <w:proofErr w:type="gramEnd"/>
      <w:r>
        <w:t xml:space="preserve"> только продолжая количественное смягчение.</w:t>
      </w:r>
    </w:p>
    <w:p w:rsidR="00276F04" w:rsidRDefault="00276F04" w:rsidP="00276F04">
      <w:pPr>
        <w:jc w:val="both"/>
      </w:pPr>
    </w:p>
    <w:p w:rsidR="00B334E8" w:rsidRDefault="00B334E8" w:rsidP="00276F04">
      <w:pPr>
        <w:jc w:val="both"/>
      </w:pPr>
      <w:r>
        <w:t>Что касается российского рынка, то он по-прежнему остается рынком отдельных идей, тогда как широкий рынок вряд ли сейчас может показать что-то выдающееся на фоне рисков снижения цен на нефть и  невнятной динамики цен промышленных металлов.</w:t>
      </w:r>
    </w:p>
    <w:p w:rsidR="00B334E8" w:rsidRDefault="00B334E8" w:rsidP="00276F04">
      <w:pPr>
        <w:jc w:val="both"/>
        <w:rPr>
          <w:sz w:val="22"/>
          <w:szCs w:val="22"/>
        </w:rPr>
      </w:pPr>
    </w:p>
    <w:p w:rsidR="00276F04" w:rsidRDefault="00276F04" w:rsidP="00276F04">
      <w:pPr>
        <w:jc w:val="both"/>
        <w:rPr>
          <w:sz w:val="22"/>
          <w:szCs w:val="22"/>
        </w:rPr>
      </w:pPr>
    </w:p>
    <w:p w:rsidR="00B334E8" w:rsidRDefault="00B334E8" w:rsidP="00276F04">
      <w:pPr>
        <w:jc w:val="center"/>
        <w:rPr>
          <w:b/>
          <w:bCs/>
          <w:sz w:val="36"/>
          <w:szCs w:val="36"/>
        </w:rPr>
      </w:pPr>
      <w:r>
        <w:rPr>
          <w:b/>
          <w:bCs/>
          <w:sz w:val="36"/>
          <w:szCs w:val="36"/>
        </w:rPr>
        <w:t>Рынок облигаций</w:t>
      </w:r>
    </w:p>
    <w:p w:rsidR="00B334E8" w:rsidRDefault="00B334E8" w:rsidP="00276F04">
      <w:pPr>
        <w:spacing w:after="240"/>
        <w:jc w:val="both"/>
      </w:pPr>
      <w:r>
        <w:rPr>
          <w:noProof/>
        </w:rPr>
        <w:drawing>
          <wp:inline distT="0" distB="0" distL="0" distR="0">
            <wp:extent cx="1190625" cy="1190625"/>
            <wp:effectExtent l="19050" t="0" r="9525" b="0"/>
            <wp:docPr id="3" name="Рисунок 17"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id:image004.jpg@01CE7BFE.B94C5460"/>
                    <pic:cNvPicPr>
                      <a:picLocks noChangeAspect="1" noChangeArrowheads="1"/>
                    </pic:cNvPicPr>
                  </pic:nvPicPr>
                  <pic:blipFill>
                    <a:blip r:embed="rId8" r:link="rId9"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276F04" w:rsidRDefault="00276F04" w:rsidP="00276F04">
      <w:pPr>
        <w:jc w:val="both"/>
        <w:rPr>
          <w:b/>
          <w:bCs/>
          <w:sz w:val="28"/>
          <w:szCs w:val="28"/>
        </w:rPr>
      </w:pPr>
      <w:r>
        <w:rPr>
          <w:b/>
          <w:bCs/>
          <w:sz w:val="28"/>
          <w:szCs w:val="28"/>
        </w:rPr>
        <w:t xml:space="preserve">Алексей </w:t>
      </w:r>
      <w:proofErr w:type="spellStart"/>
      <w:r>
        <w:rPr>
          <w:b/>
          <w:bCs/>
          <w:sz w:val="28"/>
          <w:szCs w:val="28"/>
        </w:rPr>
        <w:t>Губин,</w:t>
      </w:r>
      <w:proofErr w:type="spellEnd"/>
    </w:p>
    <w:p w:rsidR="00B334E8" w:rsidRDefault="00B334E8" w:rsidP="00276F04">
      <w:pPr>
        <w:jc w:val="both"/>
        <w:rPr>
          <w:rFonts w:ascii="Calibri" w:hAnsi="Calibri"/>
          <w:b/>
          <w:bCs/>
          <w:sz w:val="28"/>
          <w:szCs w:val="28"/>
        </w:rPr>
      </w:pPr>
      <w:r>
        <w:rPr>
          <w:b/>
          <w:bCs/>
          <w:sz w:val="28"/>
          <w:szCs w:val="28"/>
        </w:rPr>
        <w:t>аналитик УК «Альфа-Капитал»</w:t>
      </w:r>
    </w:p>
    <w:p w:rsidR="00B334E8" w:rsidRDefault="00B334E8" w:rsidP="00276F04">
      <w:pPr>
        <w:jc w:val="both"/>
        <w:rPr>
          <w:sz w:val="22"/>
          <w:szCs w:val="22"/>
        </w:rPr>
      </w:pPr>
    </w:p>
    <w:p w:rsidR="00B334E8" w:rsidRDefault="00B334E8" w:rsidP="00276F04">
      <w:pPr>
        <w:jc w:val="both"/>
      </w:pPr>
      <w:r>
        <w:t xml:space="preserve">На прошлой неделе был опубликован протокол заседания </w:t>
      </w:r>
      <w:proofErr w:type="spellStart"/>
      <w:r>
        <w:t>FOMC</w:t>
      </w:r>
      <w:proofErr w:type="spellEnd"/>
      <w:r>
        <w:t xml:space="preserve">, который не открыл для инвесторов конкретных сроков возможного сокращение </w:t>
      </w:r>
      <w:proofErr w:type="spellStart"/>
      <w:r>
        <w:t>QE</w:t>
      </w:r>
      <w:proofErr w:type="spellEnd"/>
      <w:r>
        <w:t xml:space="preserve">, однако реакция участников рынка была умеренно-негативной. Стоит отметить, что опасения относительно скорого начала сокращение </w:t>
      </w:r>
      <w:proofErr w:type="gramStart"/>
      <w:r>
        <w:t>объемов выкупа казначейских облигаций США</w:t>
      </w:r>
      <w:proofErr w:type="gramEnd"/>
      <w:r>
        <w:t xml:space="preserve"> не оказало существенного влияния на котировки рублевых долговых инструментов. В результате на прошлой </w:t>
      </w:r>
      <w:proofErr w:type="gramStart"/>
      <w:r>
        <w:t>недели</w:t>
      </w:r>
      <w:proofErr w:type="gramEnd"/>
      <w:r>
        <w:t xml:space="preserve"> какой то ярко-выраженной динамики на рынке мы не наблюдали. Длинные ОФЗ остались</w:t>
      </w:r>
      <w:r w:rsidR="00276F04">
        <w:t xml:space="preserve"> практически на тех же уровнях.</w:t>
      </w:r>
    </w:p>
    <w:p w:rsidR="00276F04" w:rsidRDefault="00276F04" w:rsidP="00276F04">
      <w:pPr>
        <w:jc w:val="both"/>
      </w:pPr>
    </w:p>
    <w:p w:rsidR="00B334E8" w:rsidRDefault="00B334E8" w:rsidP="00276F04">
      <w:pPr>
        <w:jc w:val="both"/>
      </w:pPr>
      <w:r>
        <w:t xml:space="preserve">Мы по-прежнему не </w:t>
      </w:r>
      <w:proofErr w:type="gramStart"/>
      <w:r>
        <w:t>ожидаем</w:t>
      </w:r>
      <w:proofErr w:type="gramEnd"/>
      <w:r>
        <w:t xml:space="preserve"> каких либо серьезных потрясения на финансовых рынках до конца года, а поэтому считаем, что сейчас самое </w:t>
      </w:r>
      <w:r w:rsidR="00276F04">
        <w:t>время для формирования позиций</w:t>
      </w:r>
    </w:p>
    <w:p w:rsidR="00276F04" w:rsidRDefault="00276F04" w:rsidP="00276F04">
      <w:pPr>
        <w:jc w:val="both"/>
      </w:pPr>
    </w:p>
    <w:p w:rsidR="00B334E8" w:rsidRDefault="00B334E8" w:rsidP="00276F04">
      <w:pPr>
        <w:jc w:val="both"/>
      </w:pPr>
      <w:r>
        <w:t xml:space="preserve">На прошедшей неделе закрылась книга заявок на приобретение выпуска облигаций </w:t>
      </w:r>
      <w:proofErr w:type="spellStart"/>
      <w:r>
        <w:t>РСГ</w:t>
      </w:r>
      <w:proofErr w:type="spellEnd"/>
      <w:r>
        <w:t xml:space="preserve">. Ставка первого купона составила 12,75%, что соответствует доходности к погашению через 3 года на уровне 13,16%. В сегменте </w:t>
      </w:r>
      <w:proofErr w:type="spellStart"/>
      <w:r>
        <w:t>high-yield</w:t>
      </w:r>
      <w:proofErr w:type="spellEnd"/>
      <w:r>
        <w:t xml:space="preserve"> бумага выглядит интересно, однако мы считаем, что предельная доля в портфеле не должна превышать 10%.</w:t>
      </w:r>
    </w:p>
    <w:p w:rsidR="00B334E8" w:rsidRDefault="00B334E8" w:rsidP="00276F04">
      <w:pPr>
        <w:jc w:val="both"/>
      </w:pPr>
    </w:p>
    <w:p w:rsidR="00B334E8" w:rsidRDefault="00B334E8" w:rsidP="00276F04">
      <w:pPr>
        <w:jc w:val="both"/>
      </w:pPr>
    </w:p>
    <w:p w:rsidR="00B334E8" w:rsidRDefault="00B334E8" w:rsidP="00276F04">
      <w:pPr>
        <w:jc w:val="center"/>
        <w:rPr>
          <w:b/>
          <w:bCs/>
          <w:sz w:val="36"/>
          <w:szCs w:val="36"/>
        </w:rPr>
      </w:pPr>
      <w:r>
        <w:rPr>
          <w:b/>
          <w:bCs/>
          <w:sz w:val="36"/>
          <w:szCs w:val="36"/>
        </w:rPr>
        <w:t>Рынок сырьевых товаров</w:t>
      </w:r>
    </w:p>
    <w:p w:rsidR="00B334E8" w:rsidRDefault="00B334E8" w:rsidP="00276F04">
      <w:pPr>
        <w:spacing w:after="240"/>
        <w:jc w:val="both"/>
      </w:pPr>
      <w:r>
        <w:rPr>
          <w:noProof/>
        </w:rPr>
        <w:drawing>
          <wp:inline distT="0" distB="0" distL="0" distR="0">
            <wp:extent cx="1190625" cy="1190625"/>
            <wp:effectExtent l="19050" t="0" r="9525" b="0"/>
            <wp:docPr id="4" name="Рисунок 18" descr="cid:image005.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id:image005.jpg@01CE7BFE.B94C5460"/>
                    <pic:cNvPicPr>
                      <a:picLocks noChangeAspect="1" noChangeArrowheads="1"/>
                    </pic:cNvPicPr>
                  </pic:nvPicPr>
                  <pic:blipFill>
                    <a:blip r:embed="rId10" r:link="rId11"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276F04" w:rsidRDefault="00276F04" w:rsidP="00276F04">
      <w:pPr>
        <w:jc w:val="both"/>
        <w:rPr>
          <w:b/>
          <w:bCs/>
          <w:sz w:val="28"/>
          <w:szCs w:val="28"/>
        </w:rPr>
      </w:pPr>
      <w:r>
        <w:rPr>
          <w:b/>
          <w:bCs/>
          <w:sz w:val="28"/>
          <w:szCs w:val="28"/>
        </w:rPr>
        <w:t xml:space="preserve">Дмитрий </w:t>
      </w:r>
      <w:proofErr w:type="spellStart"/>
      <w:r>
        <w:rPr>
          <w:b/>
          <w:bCs/>
          <w:sz w:val="28"/>
          <w:szCs w:val="28"/>
        </w:rPr>
        <w:t>Чернядьев</w:t>
      </w:r>
      <w:proofErr w:type="spellEnd"/>
      <w:r>
        <w:rPr>
          <w:b/>
          <w:bCs/>
          <w:sz w:val="28"/>
          <w:szCs w:val="28"/>
        </w:rPr>
        <w:t>,</w:t>
      </w:r>
    </w:p>
    <w:p w:rsidR="00B334E8" w:rsidRDefault="00B334E8" w:rsidP="00276F04">
      <w:pPr>
        <w:jc w:val="both"/>
        <w:rPr>
          <w:rFonts w:ascii="Calibri" w:hAnsi="Calibri"/>
          <w:b/>
          <w:bCs/>
          <w:sz w:val="28"/>
          <w:szCs w:val="28"/>
        </w:rPr>
      </w:pPr>
      <w:r>
        <w:rPr>
          <w:b/>
          <w:bCs/>
          <w:sz w:val="28"/>
          <w:szCs w:val="28"/>
        </w:rPr>
        <w:t>аналитик УК «Альфа-Капитал»</w:t>
      </w:r>
    </w:p>
    <w:p w:rsidR="00B334E8" w:rsidRPr="00B334E8" w:rsidRDefault="00B334E8" w:rsidP="00276F04">
      <w:pPr>
        <w:jc w:val="both"/>
        <w:rPr>
          <w:sz w:val="22"/>
          <w:szCs w:val="22"/>
        </w:rPr>
      </w:pPr>
    </w:p>
    <w:p w:rsidR="00B334E8" w:rsidRDefault="00B334E8" w:rsidP="00276F04">
      <w:pPr>
        <w:jc w:val="both"/>
      </w:pPr>
      <w:r>
        <w:lastRenderedPageBreak/>
        <w:t xml:space="preserve">Публикация стенограммы октябрьского заседания </w:t>
      </w:r>
      <w:proofErr w:type="spellStart"/>
      <w:r>
        <w:t>ФРС</w:t>
      </w:r>
      <w:proofErr w:type="spellEnd"/>
      <w:r>
        <w:t xml:space="preserve"> США привела к очередному снижению цены золота и других драгоценных металлов. Члены Комитета по операциям на открытом рынке (</w:t>
      </w:r>
      <w:proofErr w:type="spellStart"/>
      <w:r>
        <w:rPr>
          <w:lang w:val="en-US"/>
        </w:rPr>
        <w:t>FOMC</w:t>
      </w:r>
      <w:proofErr w:type="spellEnd"/>
      <w:r>
        <w:t>) считают, что сворачивание программы выкупа облигаций с рынка (</w:t>
      </w:r>
      <w:r>
        <w:rPr>
          <w:lang w:val="en-US"/>
        </w:rPr>
        <w:t>QE</w:t>
      </w:r>
      <w:r>
        <w:t xml:space="preserve">3) может быть одобрено на ближайших заседаниях, если экономическая динамика будет это оправдывать. Этот сигнал контрастирует с общим содержанием речи Джанет </w:t>
      </w:r>
      <w:proofErr w:type="spellStart"/>
      <w:r>
        <w:t>Йеллен</w:t>
      </w:r>
      <w:proofErr w:type="spellEnd"/>
      <w:r>
        <w:t xml:space="preserve">, вероятного преемника Бена </w:t>
      </w:r>
      <w:proofErr w:type="spellStart"/>
      <w:r>
        <w:t>Бернанке</w:t>
      </w:r>
      <w:proofErr w:type="spellEnd"/>
      <w:r>
        <w:t xml:space="preserve"> на посту главы </w:t>
      </w:r>
      <w:proofErr w:type="spellStart"/>
      <w:r>
        <w:t>ФРС</w:t>
      </w:r>
      <w:proofErr w:type="spellEnd"/>
      <w:r>
        <w:t xml:space="preserve"> США, которая склонна к сохранению мягкой монетарной политики. В таких условиях участники рынка драгоценных металлов начинают крайне быстро и резко реагировать на поступающие новости, что приводит к росту </w:t>
      </w:r>
      <w:proofErr w:type="spellStart"/>
      <w:r>
        <w:t>волатильности</w:t>
      </w:r>
      <w:proofErr w:type="spellEnd"/>
      <w:r>
        <w:t xml:space="preserve"> на рынках драгметаллов</w:t>
      </w:r>
      <w:r w:rsidR="00861D36">
        <w:t>.</w:t>
      </w:r>
    </w:p>
    <w:p w:rsidR="00861D36" w:rsidRPr="00B334E8" w:rsidRDefault="00861D36" w:rsidP="00276F04">
      <w:pPr>
        <w:jc w:val="both"/>
      </w:pPr>
    </w:p>
    <w:p w:rsidR="00465330" w:rsidRPr="00B334E8" w:rsidRDefault="00B334E8" w:rsidP="00276F04">
      <w:pPr>
        <w:jc w:val="both"/>
      </w:pPr>
      <w:r>
        <w:t xml:space="preserve">Цена нефти на прошлой неделе продолжила свой рост. Основной причиной такой динамики стал ход </w:t>
      </w:r>
      <w:proofErr w:type="spellStart"/>
      <w:r>
        <w:t>очердного</w:t>
      </w:r>
      <w:proofErr w:type="spellEnd"/>
      <w:r>
        <w:t xml:space="preserve"> раунда переговоров  по ядерной программе Ирана. В течение рабочей недели росло ощущение, что стороны не придут к какому-либо решению и статус-кво сохранится, что позитивно для цен на нефть</w:t>
      </w:r>
      <w:proofErr w:type="gramStart"/>
      <w:r>
        <w:t xml:space="preserve"> .</w:t>
      </w:r>
      <w:proofErr w:type="gramEnd"/>
      <w:r>
        <w:t xml:space="preserve"> Однако в выходные стороны объявили о временном соглашении. Иран согласился приостановить  работы </w:t>
      </w:r>
      <w:proofErr w:type="gramStart"/>
      <w:r>
        <w:t>по своей ядерной программе в обмен на снятие некоторых санкций со стороны</w:t>
      </w:r>
      <w:proofErr w:type="gramEnd"/>
      <w:r>
        <w:t xml:space="preserve"> </w:t>
      </w:r>
      <w:proofErr w:type="spellStart"/>
      <w:r>
        <w:t>запапдных</w:t>
      </w:r>
      <w:proofErr w:type="spellEnd"/>
      <w:r>
        <w:t xml:space="preserve"> стран. В отношении экспорта нефти из Ирана санкции пока не ослабляются, но и ужесточаться тоже не будут. Мы считаем, что влияние на цену нефти пока будет не очень большим. Соглашение не предполагает роста поставок из Ирана, что являлось главной угрозой для цены нефти. Также пока нет понимания, насколько "гладким" будет процесс исполнения этого </w:t>
      </w:r>
      <w:proofErr w:type="gramStart"/>
      <w:r>
        <w:t>соглашения</w:t>
      </w:r>
      <w:proofErr w:type="gramEnd"/>
      <w:r>
        <w:t xml:space="preserve"> как со стороны Ирана, так и западных стран. </w:t>
      </w:r>
      <w:proofErr w:type="gramStart"/>
      <w:r>
        <w:t xml:space="preserve">Однако это соглашение может иметь долгосрочные </w:t>
      </w:r>
      <w:proofErr w:type="spellStart"/>
      <w:r>
        <w:t>последстия</w:t>
      </w:r>
      <w:proofErr w:type="spellEnd"/>
      <w:r>
        <w:t xml:space="preserve"> для рынка нефти, так как это, по большому счету, </w:t>
      </w:r>
      <w:proofErr w:type="spellStart"/>
      <w:r>
        <w:t>дипломатическйи</w:t>
      </w:r>
      <w:proofErr w:type="spellEnd"/>
      <w:r>
        <w:t xml:space="preserve"> прорыв в отношениях Ирана с западными странами, особенно США, и на этом прогресс может не остановиться, что среди прочих последствий будет означать полноценный возврат Ирана на мировой рынок нефти"</w:t>
      </w:r>
      <w:proofErr w:type="gramEnd"/>
    </w:p>
    <w:sectPr w:rsidR="00465330" w:rsidRPr="00B334E8" w:rsidSect="004653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5C84"/>
    <w:rsid w:val="002618E2"/>
    <w:rsid w:val="00263849"/>
    <w:rsid w:val="00276F04"/>
    <w:rsid w:val="00465330"/>
    <w:rsid w:val="00570397"/>
    <w:rsid w:val="007C77B5"/>
    <w:rsid w:val="00861D36"/>
    <w:rsid w:val="00905C84"/>
    <w:rsid w:val="00985879"/>
    <w:rsid w:val="00A265F1"/>
    <w:rsid w:val="00B334E8"/>
    <w:rsid w:val="00E72006"/>
    <w:rsid w:val="00E82210"/>
    <w:rsid w:val="00EA0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Стандартный"/>
    <w:qFormat/>
    <w:rsid w:val="00985879"/>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5C84"/>
    <w:pPr>
      <w:spacing w:before="100" w:beforeAutospacing="1" w:after="100" w:afterAutospacing="1"/>
    </w:pPr>
  </w:style>
  <w:style w:type="paragraph" w:styleId="a4">
    <w:name w:val="Plain Text"/>
    <w:basedOn w:val="a"/>
    <w:link w:val="a5"/>
    <w:uiPriority w:val="99"/>
    <w:unhideWhenUsed/>
    <w:rsid w:val="00985879"/>
    <w:rPr>
      <w:rFonts w:ascii="Consolas" w:hAnsi="Consolas" w:cstheme="minorBidi"/>
      <w:sz w:val="21"/>
      <w:szCs w:val="21"/>
      <w:lang w:eastAsia="en-US"/>
    </w:rPr>
  </w:style>
  <w:style w:type="character" w:customStyle="1" w:styleId="a5">
    <w:name w:val="Текст Знак"/>
    <w:basedOn w:val="a0"/>
    <w:link w:val="a4"/>
    <w:uiPriority w:val="99"/>
    <w:rsid w:val="00985879"/>
    <w:rPr>
      <w:rFonts w:ascii="Consolas" w:hAnsi="Consolas"/>
      <w:sz w:val="21"/>
      <w:szCs w:val="21"/>
    </w:rPr>
  </w:style>
  <w:style w:type="paragraph" w:styleId="a6">
    <w:name w:val="Balloon Text"/>
    <w:basedOn w:val="a"/>
    <w:link w:val="a7"/>
    <w:uiPriority w:val="99"/>
    <w:semiHidden/>
    <w:unhideWhenUsed/>
    <w:rsid w:val="00B334E8"/>
    <w:rPr>
      <w:rFonts w:ascii="Tahoma" w:hAnsi="Tahoma" w:cs="Tahoma"/>
      <w:sz w:val="16"/>
      <w:szCs w:val="16"/>
    </w:rPr>
  </w:style>
  <w:style w:type="character" w:customStyle="1" w:styleId="a7">
    <w:name w:val="Текст выноски Знак"/>
    <w:basedOn w:val="a0"/>
    <w:link w:val="a6"/>
    <w:uiPriority w:val="99"/>
    <w:semiHidden/>
    <w:rsid w:val="00B334E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24637839">
      <w:bodyDiv w:val="1"/>
      <w:marLeft w:val="0"/>
      <w:marRight w:val="0"/>
      <w:marTop w:val="0"/>
      <w:marBottom w:val="0"/>
      <w:divBdr>
        <w:top w:val="none" w:sz="0" w:space="0" w:color="auto"/>
        <w:left w:val="none" w:sz="0" w:space="0" w:color="auto"/>
        <w:bottom w:val="none" w:sz="0" w:space="0" w:color="auto"/>
        <w:right w:val="none" w:sz="0" w:space="0" w:color="auto"/>
      </w:divBdr>
    </w:div>
    <w:div w:id="934171617">
      <w:bodyDiv w:val="1"/>
      <w:marLeft w:val="0"/>
      <w:marRight w:val="0"/>
      <w:marTop w:val="0"/>
      <w:marBottom w:val="0"/>
      <w:divBdr>
        <w:top w:val="none" w:sz="0" w:space="0" w:color="auto"/>
        <w:left w:val="none" w:sz="0" w:space="0" w:color="auto"/>
        <w:bottom w:val="none" w:sz="0" w:space="0" w:color="auto"/>
        <w:right w:val="none" w:sz="0" w:space="0" w:color="auto"/>
      </w:divBdr>
    </w:div>
    <w:div w:id="1029179227">
      <w:bodyDiv w:val="1"/>
      <w:marLeft w:val="0"/>
      <w:marRight w:val="0"/>
      <w:marTop w:val="0"/>
      <w:marBottom w:val="0"/>
      <w:divBdr>
        <w:top w:val="none" w:sz="0" w:space="0" w:color="auto"/>
        <w:left w:val="none" w:sz="0" w:space="0" w:color="auto"/>
        <w:bottom w:val="none" w:sz="0" w:space="0" w:color="auto"/>
        <w:right w:val="none" w:sz="0" w:space="0" w:color="auto"/>
      </w:divBdr>
    </w:div>
    <w:div w:id="10916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3.jpg@01CEE488.A4830C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5.jpg@01CEE488.A4830C20" TargetMode="External"/><Relationship Id="rId5" Type="http://schemas.openxmlformats.org/officeDocument/2006/relationships/image" Target="cid:image002.jpg@01CEE488.A4830C20"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image004.jpg@01CEE488.A4830C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749</Words>
  <Characters>4270</Characters>
  <Application>Microsoft Office Word</Application>
  <DocSecurity>4</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tgladysheva</dc:creator>
  <cp:lastModifiedBy>tgladysheva</cp:lastModifiedBy>
  <cp:revision>2</cp:revision>
  <dcterms:created xsi:type="dcterms:W3CDTF">2013-11-25T13:58:00Z</dcterms:created>
  <dcterms:modified xsi:type="dcterms:W3CDTF">2013-11-25T13:58:00Z</dcterms:modified>
</cp:coreProperties>
</file>