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336768" w:rsidRDefault="00336768" w:rsidP="00336768">
      <w:pPr>
        <w:ind w:left="142"/>
      </w:pPr>
    </w:p>
    <w:tbl>
      <w:tblPr>
        <w:tblW w:w="1051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673"/>
        <w:gridCol w:w="6"/>
      </w:tblGrid>
      <w:tr w:rsidR="00336768" w:rsidTr="00336768">
        <w:trPr>
          <w:tblCellSpacing w:w="0" w:type="dxa"/>
        </w:trPr>
        <w:tc>
          <w:tcPr>
            <w:tcW w:w="0" w:type="auto"/>
            <w:vAlign w:val="center"/>
            <w:hideMark/>
          </w:tcPr>
          <w:p w:rsidR="00336768" w:rsidRDefault="00336768" w:rsidP="00336768">
            <w:pPr>
              <w:ind w:left="142"/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067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3"/>
            </w:tblGrid>
            <w:tr w:rsidR="00336768" w:rsidTr="0033676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36768" w:rsidRDefault="00336768" w:rsidP="00336768">
                  <w:pPr>
                    <w:ind w:left="142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color w:val="1F497D"/>
                      <w:sz w:val="26"/>
                      <w:szCs w:val="26"/>
                      <w:lang w:eastAsia="ru-RU"/>
                    </w:rPr>
                    <w:drawing>
                      <wp:inline distT="0" distB="0" distL="0" distR="0">
                        <wp:extent cx="6677025" cy="2447925"/>
                        <wp:effectExtent l="0" t="0" r="9525" b="9525"/>
                        <wp:docPr id="5" name="Рисунок 5" descr="cid:image001.jpg@01CE7F0D.5D5225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id:image001.jpg@01CE7F0D.5D5225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77025" cy="2447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36768" w:rsidTr="00336768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4"/>
                    <w:gridCol w:w="10253"/>
                    <w:gridCol w:w="6"/>
                  </w:tblGrid>
                  <w:tr w:rsidR="00336768">
                    <w:trPr>
                      <w:trHeight w:val="150"/>
                      <w:tblCellSpacing w:w="0" w:type="dxa"/>
                    </w:trPr>
                    <w:tc>
                      <w:tcPr>
                        <w:tcW w:w="408" w:type="dxa"/>
                        <w:shd w:val="clear" w:color="auto" w:fill="FFFFFF"/>
                        <w:vAlign w:val="center"/>
                        <w:hideMark/>
                      </w:tcPr>
                      <w:p w:rsidR="00336768" w:rsidRDefault="00336768" w:rsidP="00336768">
                        <w:pPr>
                          <w:ind w:left="142"/>
                        </w:pPr>
                      </w:p>
                    </w:tc>
                    <w:tc>
                      <w:tcPr>
                        <w:tcW w:w="10101" w:type="dxa"/>
                        <w:shd w:val="clear" w:color="auto" w:fill="FFFFFF"/>
                        <w:vAlign w:val="center"/>
                        <w:hideMark/>
                      </w:tcPr>
                      <w:p w:rsidR="00336768" w:rsidRDefault="00336768" w:rsidP="00336768">
                        <w:pPr>
                          <w:ind w:left="142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shd w:val="clear" w:color="auto" w:fill="FFFFFF"/>
                        <w:vAlign w:val="center"/>
                        <w:hideMark/>
                      </w:tcPr>
                      <w:p w:rsidR="00336768" w:rsidRDefault="00336768" w:rsidP="00336768">
                        <w:pPr>
                          <w:ind w:left="142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36768">
                    <w:trPr>
                      <w:trHeight w:val="420"/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336768" w:rsidRDefault="00336768" w:rsidP="00336768">
                        <w:pPr>
                          <w:ind w:left="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p w:rsidR="00336768" w:rsidRDefault="00336768" w:rsidP="00336768">
                        <w:pPr>
                          <w:ind w:left="142"/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336768" w:rsidRDefault="00336768" w:rsidP="00336768">
                        <w:pPr>
                          <w:ind w:left="142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36768">
                    <w:trPr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336768" w:rsidRDefault="00336768" w:rsidP="00336768">
                        <w:pPr>
                          <w:ind w:left="142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53"/>
                          <w:gridCol w:w="600"/>
                        </w:tblGrid>
                        <w:tr w:rsidR="0033676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36768" w:rsidRDefault="00336768" w:rsidP="00336768">
                              <w:pPr>
                                <w:ind w:left="142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акций</w:t>
                              </w:r>
                            </w:p>
                            <w:p w:rsidR="00336768" w:rsidRDefault="00336768" w:rsidP="00336768">
                              <w:pPr>
                                <w:ind w:left="142"/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336768" w:rsidRDefault="00336768" w:rsidP="00336768">
                              <w:pPr>
                                <w:spacing w:after="240"/>
                                <w:ind w:left="142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0" t="0" r="9525" b="9525"/>
                                    <wp:docPr id="4" name="Рисунок 4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7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r:link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36768" w:rsidRDefault="00336768" w:rsidP="00336768">
                              <w:pPr>
                                <w:ind w:left="142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336768" w:rsidRDefault="00336768" w:rsidP="00336768">
                              <w:pPr>
                                <w:ind w:left="142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</w:rPr>
                                <w:t> </w:t>
                              </w:r>
                            </w:p>
                            <w:p w:rsidR="00336768" w:rsidRDefault="00336768" w:rsidP="00336768">
                              <w:pPr>
                                <w:pStyle w:val="a30"/>
                                <w:ind w:left="142"/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Индексы рынка акций США удержались в районе максимумом, хотя активность «быков» несколько поубавилась. Слабая макростатистка сейчас воспринимается рынком как сигнал о том, что первое повышение ставки ФРС произойдет еще не скоро, может быть даже не этой осенью. Поэтому инвесторы пока не спешат сокращать позиции в акциях. Но рано или поздно замедление темпов роста экономики все равно скажется на финансовых результатах компаний. Это серьезно ограничивает потенциал органического (фундаментально оправданного) роста «широкого» рынка. </w:t>
                              </w:r>
                            </w:p>
                            <w:p w:rsidR="00336768" w:rsidRDefault="00336768" w:rsidP="00336768">
                              <w:pPr>
                                <w:pStyle w:val="a30"/>
                                <w:ind w:left="142"/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Исключением являются капиталоемкие сектора, например, высокие технологии и здравоохранение, где котировки акций продолжают расти, так как именно такие компании больше всего выигрывают от низких ставок. И именно такие компании мы делаем акцент в наших фондах. </w:t>
                              </w:r>
                            </w:p>
                            <w:p w:rsidR="00336768" w:rsidRDefault="00336768" w:rsidP="00336768">
                              <w:pPr>
                                <w:pStyle w:val="a30"/>
                                <w:ind w:left="142"/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В ближайшие дни внимание инвесторов будет приковано к выходящей статистике. Во вторник выйдут данные по рынку недвижимости и заказам на товары длительного пользования, а в пятницу обнародуют пересмотренные данные по ВВП США за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lastRenderedPageBreak/>
                                <w:t xml:space="preserve">первый квартал. Вероятнее всего, до публикации этих данных активность на рынке будет оставаться невысокой, и основное движение начнется уже на следующей неделе. </w:t>
                              </w:r>
                            </w:p>
                            <w:p w:rsidR="00336768" w:rsidRDefault="00336768" w:rsidP="00336768">
                              <w:pPr>
                                <w:pStyle w:val="a30"/>
                                <w:ind w:left="142"/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Российский рынок между тем продолжает корректироваться на слабых макроэкономических данных. Беспокойство также вызывает сильное падение цен на промышленные металлы, происходящее на фоне замедления экономим Китая.  В совокупности с укреплением рубля, падение цен на сырье может сильно ударить по прибылям экспортеров, что пока не отражается в котировках их акций. Вместе с тем, долгосрочно российских рынок остается интересной идеей, так как с одной стороны просадка в экономике не столь сильная, как ожидалось в начале года, а с другой стороны рано или поздно начнет сокращаться премия за геополитический риски.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Но пока мы держим долю в российских бумагах минимальной, отдавая предпочтение качественным иностранным именам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</w:p>
                            <w:p w:rsidR="00336768" w:rsidRDefault="00336768" w:rsidP="00336768">
                              <w:pPr>
                                <w:ind w:left="142"/>
                              </w:pPr>
                              <w:r>
                                <w:rPr>
                                  <w:color w:val="1F497D"/>
                                </w:rPr>
                                <w:t> </w:t>
                              </w:r>
                            </w:p>
                            <w:p w:rsidR="00336768" w:rsidRDefault="00336768" w:rsidP="00336768">
                              <w:pPr>
                                <w:ind w:left="142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облигаций</w:t>
                              </w:r>
                            </w:p>
                            <w:p w:rsidR="00336768" w:rsidRDefault="00336768" w:rsidP="00336768">
                              <w:pPr>
                                <w:spacing w:after="240"/>
                                <w:ind w:left="142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0" t="0" r="9525" b="9525"/>
                                    <wp:docPr id="3" name="Рисунок 3" descr="cid:image004.jpg@01CE7BFE.B94C54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8" descr="cid:image004.jpg@01CE7BFE.B94C54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36768" w:rsidRDefault="00336768" w:rsidP="00336768">
                              <w:pPr>
                                <w:ind w:left="142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Алексей Губин, 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аналитик УК «Альфа-Капитал»</w:t>
                              </w:r>
                            </w:p>
                            <w:p w:rsidR="00336768" w:rsidRDefault="00336768" w:rsidP="00336768">
                              <w:pPr>
                                <w:pStyle w:val="a30"/>
                                <w:spacing w:before="120"/>
                                <w:ind w:left="142"/>
                              </w:pPr>
                              <w:r>
                                <w:rPr>
                                  <w:rFonts w:ascii="Calibri" w:hAnsi="Calibri"/>
                                  <w:color w:val="1F497D"/>
                                  <w:sz w:val="36"/>
                                  <w:szCs w:val="36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Глобальный долговой рынок на прошлой неделе стабилизировался. Ставки по 30-летним госбумагам США не смогли закрепиться выше 3% годовых, даже несмотря на чуть большую, чем ожидалось, инфляцию потребительских цен в апреле. Хотя, конечно, превышение прогноза на 0,1% было обусловлено, прежде всего, математическим округлением. В настоящий момент на рынке есть уверенность в том, что на ближайшем заседании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FOMC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17 июня повышения ставки не произойдет, однако намерение повысить ставки в текущем году у ФРС остается. Интригу составляет лишь время первого повышения и его размер (будет ли отход от стандартного шага в 0,25% годовых).</w:t>
                              </w:r>
                            </w:p>
                            <w:p w:rsidR="00336768" w:rsidRDefault="00336768" w:rsidP="00336768">
                              <w:pPr>
                                <w:pStyle w:val="a30"/>
                                <w:spacing w:before="120"/>
                                <w:ind w:left="142"/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Рынок российских еврооблигаций по-прежнему демонстрирует хорошую динамику. Все перипетии внешних долговых рынков пока остаются для российских бумаг не более чем шумом: 5-летний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CDS</w:t>
                              </w:r>
                              <w:r w:rsidRPr="0033676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на Россию пробил 300 б.п. и закрепился в районе 292-297 б.п. Следующая «остановка» - 270-280 б.п., где мы по-прежнему ждем более выраженной фиксации прибыли. При этом любые позитивные новости в том числе в отношении санкций могут привести к мощному движению цен на российские евробонды вверх, учитывая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underweight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западных инвесторов и дефицит обращающихся на рынке бумаг. </w:t>
                              </w:r>
                            </w:p>
                            <w:p w:rsidR="00336768" w:rsidRDefault="00336768" w:rsidP="00336768">
                              <w:pPr>
                                <w:pStyle w:val="a30"/>
                                <w:spacing w:before="120"/>
                                <w:ind w:left="142"/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Рублевые облигации также продолжили рост. Вышедшие в пятницу разочаровывающие данные по российской экономике явно рисуют дефляционную среду. Вряд ли цены будут расти при падении реальных заработных плат на 13,2% и снижении розничных продаж почти на 10%. Таким образом, смягчение денежно-кредитной политики, по всей видимости, продолжится, и вполне вероятно, что к концу 2015 года мы увидим ключевую ставку в диапазоне 9-10% годовых. В связи с этим покупка и удержание длинных качественных рублевых облигаций является, по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lastRenderedPageBreak/>
                                <w:t xml:space="preserve">нашему мнению, оптимальной стратегией, по крайней мере, на ближайшие 6-9 месяцев. </w:t>
                              </w:r>
                            </w:p>
                            <w:p w:rsidR="00336768" w:rsidRDefault="00336768" w:rsidP="00336768">
                              <w:pPr>
                                <w:pStyle w:val="a30"/>
                                <w:ind w:left="142"/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336768" w:rsidRDefault="00336768" w:rsidP="00336768">
                              <w:pPr>
                                <w:ind w:left="142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сырьевых товаров</w:t>
                              </w:r>
                            </w:p>
                            <w:p w:rsidR="00336768" w:rsidRDefault="00336768" w:rsidP="00336768">
                              <w:pPr>
                                <w:spacing w:after="240"/>
                                <w:ind w:left="142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123950" cy="1123950"/>
                                    <wp:effectExtent l="0" t="0" r="0" b="0"/>
                                    <wp:docPr id="2" name="Рисунок 2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r:link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3950" cy="1123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36768" w:rsidRDefault="00336768" w:rsidP="00336768">
                              <w:pPr>
                                <w:ind w:left="142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336768" w:rsidRDefault="00336768" w:rsidP="00336768">
                              <w:pPr>
                                <w:ind w:left="142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1F497D"/>
                                </w:rPr>
                                <w:t> </w:t>
                              </w:r>
                            </w:p>
                            <w:p w:rsidR="00336768" w:rsidRDefault="00336768" w:rsidP="00336768">
                              <w:pPr>
                                <w:ind w:left="142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336768" w:rsidRDefault="00336768" w:rsidP="00336768">
                              <w:pPr>
                                <w:pStyle w:val="a50"/>
                                <w:spacing w:before="120"/>
                                <w:ind w:left="142"/>
                                <w:jc w:val="both"/>
                              </w:pP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4"/>
                                  <w:szCs w:val="24"/>
                                </w:rPr>
                                <w:t xml:space="preserve">Цены на нефть стабилизировались около отметки </w:t>
                              </w: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USD</w:t>
                              </w: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4"/>
                                  <w:szCs w:val="24"/>
                                </w:rPr>
                                <w:t xml:space="preserve">65 за баррель </w:t>
                              </w: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Brent</w:t>
                              </w: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4"/>
                                  <w:szCs w:val="24"/>
                                </w:rPr>
                                <w:t xml:space="preserve">. С одной стороны, мы видим хорошие новости со стороны спроса, например, данные по экономике Китая указывают на положительный эффекте от стимулирующих мер Народного Банка, по предварительным данным </w:t>
                              </w: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HSBC</w:t>
                              </w:r>
                              <w:r w:rsidRPr="00336768">
                                <w:rPr>
                                  <w:b w:val="0"/>
                                  <w:bCs w:val="0"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PMI</w:t>
                              </w:r>
                              <w:r w:rsidRPr="00336768">
                                <w:rPr>
                                  <w:b w:val="0"/>
                                  <w:bCs w:val="0"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4"/>
                                  <w:szCs w:val="24"/>
                                </w:rPr>
                                <w:t>подрос до 49,1 пунктов, после резкого снижения в предыдущие два месяца. Кроме того, данные по Еврозоне также говорят о том, что экономика этого региона начинает подавать признаки оживления. С другой стороны, предложение остается сильным, добыча не сокращается, а число активных буровых установок за прошлую неделю сократилось на минимальное число после пика в октябре прошлого года. Иными словами, текущие цены на нефть близки к равновесным. Цена нефти может вырасти только в случае возникновения серьезного риска предложения.</w:t>
                              </w:r>
                            </w:p>
                            <w:p w:rsidR="00336768" w:rsidRDefault="00336768" w:rsidP="00336768">
                              <w:pPr>
                                <w:pStyle w:val="a50"/>
                                <w:spacing w:before="120"/>
                                <w:ind w:left="142"/>
                                <w:jc w:val="both"/>
                              </w:pP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4"/>
                                  <w:szCs w:val="24"/>
                                </w:rPr>
                                <w:t>Исходя из этого наиболее привлекательными сейчас являются крупные международные нефтегазовые компании, у которых есть возможность повышения собственной эффективности и доступ к дешевому фондированию.</w:t>
                              </w:r>
                            </w:p>
                            <w:p w:rsidR="00336768" w:rsidRDefault="00336768" w:rsidP="00336768">
                              <w:pPr>
                                <w:pStyle w:val="a50"/>
                                <w:spacing w:before="120"/>
                                <w:ind w:left="142"/>
                                <w:jc w:val="both"/>
                              </w:pP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4"/>
                                  <w:szCs w:val="24"/>
                                </w:rPr>
                                <w:t>Промышленные металлы за последний месяц сильно скорректировались после роста месяцем ранее. Здесь по-прежнему ощущается избыток предложения и среди компаний нам нравятся либо диверсифицированные производители, либо компании, способные использовать в свою пользу девальвацию валют стран, где они оперируют. К ним относятся, кстати и некоторые российские металлурги.</w:t>
                              </w:r>
                            </w:p>
                            <w:p w:rsidR="00336768" w:rsidRDefault="00336768" w:rsidP="00336768">
                              <w:pPr>
                                <w:pStyle w:val="a50"/>
                                <w:spacing w:after="120"/>
                                <w:jc w:val="both"/>
                                <w:rPr>
                                  <w:i/>
                                  <w:iCs/>
                                </w:rPr>
                              </w:pPr>
                            </w:p>
                            <w:p w:rsidR="00336768" w:rsidRDefault="00336768" w:rsidP="00336768">
                              <w:pPr>
                                <w:ind w:left="142"/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336768" w:rsidRDefault="00336768" w:rsidP="00336768">
                              <w:pPr>
                                <w:ind w:left="142"/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336768" w:rsidRDefault="00336768" w:rsidP="00336768">
                        <w:pPr>
                          <w:ind w:left="142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336768" w:rsidRDefault="00336768" w:rsidP="00336768">
                        <w:pPr>
                          <w:ind w:left="142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36768" w:rsidRDefault="00336768" w:rsidP="00336768">
                  <w:pPr>
                    <w:ind w:left="142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6"/>
                      <w:szCs w:val="26"/>
                      <w:lang w:eastAsia="ru-RU"/>
                    </w:rPr>
                    <w:lastRenderedPageBreak/>
                    <w:drawing>
                      <wp:inline distT="0" distB="0" distL="0" distR="0">
                        <wp:extent cx="6667500" cy="762000"/>
                        <wp:effectExtent l="0" t="0" r="0" b="0"/>
                        <wp:docPr id="1" name="Рисунок 1" descr="cid:image004.gif@01CF1B7C.B25E1A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 descr="cid:image004.gif@01CF1B7C.B25E1A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r:link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36768" w:rsidTr="00336768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36768" w:rsidRDefault="00336768" w:rsidP="00336768">
                  <w:pPr>
                    <w:ind w:left="142"/>
                  </w:pPr>
                </w:p>
              </w:tc>
              <w:bookmarkStart w:id="0" w:name="_GoBack"/>
              <w:bookmarkEnd w:id="0"/>
            </w:tr>
          </w:tbl>
          <w:p w:rsidR="00336768" w:rsidRDefault="00336768" w:rsidP="00336768">
            <w:pPr>
              <w:ind w:left="14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6768" w:rsidRDefault="00336768" w:rsidP="00336768">
            <w:pPr>
              <w:ind w:left="142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0120A" w:rsidRPr="00930623" w:rsidRDefault="00010BA9" w:rsidP="00336768">
      <w:pPr>
        <w:spacing w:before="240" w:line="276" w:lineRule="auto"/>
        <w:ind w:left="142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 </w:t>
      </w:r>
    </w:p>
    <w:sectPr w:rsidR="0040120A" w:rsidRPr="00930623" w:rsidSect="0033676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FC8" w:rsidRDefault="00E84FC8" w:rsidP="00EF2DCA">
      <w:pPr>
        <w:spacing w:after="0" w:line="240" w:lineRule="auto"/>
      </w:pPr>
      <w:r>
        <w:separator/>
      </w:r>
    </w:p>
  </w:endnote>
  <w:endnote w:type="continuationSeparator" w:id="0">
    <w:p w:rsidR="00E84FC8" w:rsidRDefault="00E84FC8" w:rsidP="00EF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FC8" w:rsidRDefault="00E84FC8" w:rsidP="00EF2DCA">
      <w:pPr>
        <w:spacing w:after="0" w:line="240" w:lineRule="auto"/>
      </w:pPr>
      <w:r>
        <w:separator/>
      </w:r>
    </w:p>
  </w:footnote>
  <w:footnote w:type="continuationSeparator" w:id="0">
    <w:p w:rsidR="00E84FC8" w:rsidRDefault="00E84FC8" w:rsidP="00EF2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EA"/>
    <w:rsid w:val="00000B7B"/>
    <w:rsid w:val="00002F8F"/>
    <w:rsid w:val="00010BA9"/>
    <w:rsid w:val="00032B3F"/>
    <w:rsid w:val="000675FD"/>
    <w:rsid w:val="000D0F4A"/>
    <w:rsid w:val="000E2167"/>
    <w:rsid w:val="0015332A"/>
    <w:rsid w:val="0019359A"/>
    <w:rsid w:val="0019498D"/>
    <w:rsid w:val="001C7DE2"/>
    <w:rsid w:val="00336768"/>
    <w:rsid w:val="003668FE"/>
    <w:rsid w:val="003737FA"/>
    <w:rsid w:val="003C56FA"/>
    <w:rsid w:val="0040120A"/>
    <w:rsid w:val="004A676A"/>
    <w:rsid w:val="004E42EF"/>
    <w:rsid w:val="004F7632"/>
    <w:rsid w:val="0051704B"/>
    <w:rsid w:val="00562130"/>
    <w:rsid w:val="006530A8"/>
    <w:rsid w:val="006A3465"/>
    <w:rsid w:val="006C33E4"/>
    <w:rsid w:val="007272AD"/>
    <w:rsid w:val="007A32A7"/>
    <w:rsid w:val="007B5126"/>
    <w:rsid w:val="007C020D"/>
    <w:rsid w:val="007C52C8"/>
    <w:rsid w:val="007F55E6"/>
    <w:rsid w:val="00930623"/>
    <w:rsid w:val="00982E92"/>
    <w:rsid w:val="00A86893"/>
    <w:rsid w:val="00AC7FEA"/>
    <w:rsid w:val="00AD7685"/>
    <w:rsid w:val="00B31DB5"/>
    <w:rsid w:val="00BD23DE"/>
    <w:rsid w:val="00CA72DD"/>
    <w:rsid w:val="00D047FD"/>
    <w:rsid w:val="00D05F5F"/>
    <w:rsid w:val="00D13308"/>
    <w:rsid w:val="00D35BAF"/>
    <w:rsid w:val="00D44F91"/>
    <w:rsid w:val="00DA68EA"/>
    <w:rsid w:val="00E1044E"/>
    <w:rsid w:val="00E12C62"/>
    <w:rsid w:val="00E84FC8"/>
    <w:rsid w:val="00E85496"/>
    <w:rsid w:val="00E925E1"/>
    <w:rsid w:val="00EF2DCA"/>
    <w:rsid w:val="00EF6BBA"/>
    <w:rsid w:val="00F95D37"/>
    <w:rsid w:val="00F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84F8F-2ECC-4851-AD30-ED62079D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DCA"/>
  </w:style>
  <w:style w:type="paragraph" w:styleId="a5">
    <w:name w:val="footer"/>
    <w:basedOn w:val="a"/>
    <w:link w:val="a6"/>
    <w:uiPriority w:val="99"/>
    <w:unhideWhenUsed/>
    <w:rsid w:val="00EF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DCA"/>
  </w:style>
  <w:style w:type="paragraph" w:styleId="a7">
    <w:name w:val="Plain Text"/>
    <w:basedOn w:val="a"/>
    <w:link w:val="a8"/>
    <w:uiPriority w:val="99"/>
    <w:semiHidden/>
    <w:unhideWhenUsed/>
    <w:rsid w:val="00EF2DCA"/>
    <w:pPr>
      <w:spacing w:after="0" w:line="240" w:lineRule="auto"/>
    </w:pPr>
    <w:rPr>
      <w:rFonts w:ascii="Calibri" w:hAnsi="Calibri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EF2DCA"/>
    <w:rPr>
      <w:rFonts w:ascii="Calibri" w:hAnsi="Calibri"/>
      <w:szCs w:val="21"/>
    </w:rPr>
  </w:style>
  <w:style w:type="character" w:styleId="a9">
    <w:name w:val="Hyperlink"/>
    <w:basedOn w:val="a0"/>
    <w:uiPriority w:val="99"/>
    <w:unhideWhenUsed/>
    <w:rsid w:val="00EF6BBA"/>
    <w:rPr>
      <w:color w:val="5F5F5F" w:themeColor="hyperlink"/>
      <w:u w:val="single"/>
    </w:rPr>
  </w:style>
  <w:style w:type="paragraph" w:customStyle="1" w:styleId="a30">
    <w:name w:val="a3"/>
    <w:basedOn w:val="a"/>
    <w:rsid w:val="00336768"/>
    <w:pPr>
      <w:spacing w:before="80" w:after="0" w:line="240" w:lineRule="auto"/>
      <w:jc w:val="both"/>
    </w:pPr>
    <w:rPr>
      <w:rFonts w:ascii="Arial Narrow" w:hAnsi="Arial Narrow" w:cs="Times New Roman"/>
      <w:sz w:val="16"/>
      <w:szCs w:val="16"/>
      <w:lang w:eastAsia="ru-RU"/>
    </w:rPr>
  </w:style>
  <w:style w:type="paragraph" w:customStyle="1" w:styleId="a50">
    <w:name w:val="a5"/>
    <w:basedOn w:val="a"/>
    <w:rsid w:val="00336768"/>
    <w:pPr>
      <w:spacing w:after="0" w:line="240" w:lineRule="auto"/>
    </w:pPr>
    <w:rPr>
      <w:rFonts w:ascii="Arial" w:hAnsi="Arial" w:cs="Arial"/>
      <w:b/>
      <w:bCs/>
      <w:color w:val="FF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4.jpg@01D09706.46E7AAD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09706.46E7AAD0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03.jpg@01D09706.46E7AAD0" TargetMode="External"/><Relationship Id="rId5" Type="http://schemas.openxmlformats.org/officeDocument/2006/relationships/endnotes" Target="endnotes.xml"/><Relationship Id="rId15" Type="http://schemas.openxmlformats.org/officeDocument/2006/relationships/image" Target="cid:image005.gif@01D09706.46E7AAD0" TargetMode="Externa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cid:image002.jpg@01D09706.46E7AAD0" TargetMode="External"/><Relationship Id="rId14" Type="http://schemas.openxmlformats.org/officeDocument/2006/relationships/image" Target="media/image5.gi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Натуральные материалы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Натуральные материалы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Натуральные материалы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Финам</Company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akolesnikova</dc:creator>
  <cp:keywords/>
  <dc:description/>
  <cp:lastModifiedBy>akolesnikova</cp:lastModifiedBy>
  <cp:revision>2</cp:revision>
  <dcterms:created xsi:type="dcterms:W3CDTF">2015-05-25T13:20:00Z</dcterms:created>
  <dcterms:modified xsi:type="dcterms:W3CDTF">2015-05-25T13:20:00Z</dcterms:modified>
</cp:coreProperties>
</file>