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E4B" w:rsidRPr="00123AD0" w:rsidRDefault="00B75E4B" w:rsidP="00B75E4B">
      <w:pPr>
        <w:rPr>
          <w:rFonts w:asciiTheme="majorHAnsi" w:hAnsiTheme="majorHAnsi"/>
          <w:color w:val="000000"/>
        </w:rPr>
      </w:pPr>
      <w:r w:rsidRPr="00123AD0">
        <w:rPr>
          <w:rFonts w:asciiTheme="majorHAnsi" w:hAnsiTheme="majorHAnsi"/>
          <w:color w:val="000000"/>
        </w:rPr>
        <w:t xml:space="preserve">Лучше сделать ставку на рост </w:t>
      </w:r>
      <w:proofErr w:type="spellStart"/>
      <w:r w:rsidRPr="00123AD0">
        <w:rPr>
          <w:rFonts w:asciiTheme="majorHAnsi" w:hAnsiTheme="majorHAnsi"/>
          <w:color w:val="000000"/>
        </w:rPr>
        <w:t>волатильности</w:t>
      </w:r>
      <w:proofErr w:type="spellEnd"/>
    </w:p>
    <w:p w:rsidR="00B75E4B" w:rsidRPr="00123AD0" w:rsidRDefault="00B75E4B" w:rsidP="00B75E4B">
      <w:pPr>
        <w:jc w:val="both"/>
        <w:rPr>
          <w:rFonts w:asciiTheme="majorHAnsi" w:hAnsiTheme="majorHAnsi"/>
          <w:color w:val="000000"/>
        </w:rPr>
      </w:pPr>
    </w:p>
    <w:p w:rsidR="00B75E4B" w:rsidRPr="00123AD0" w:rsidRDefault="00B75E4B" w:rsidP="00B75E4B">
      <w:pPr>
        <w:jc w:val="both"/>
        <w:rPr>
          <w:rFonts w:asciiTheme="majorHAnsi" w:hAnsiTheme="majorHAnsi"/>
          <w:color w:val="000000"/>
        </w:rPr>
      </w:pPr>
      <w:r w:rsidRPr="00123AD0">
        <w:rPr>
          <w:rFonts w:asciiTheme="majorHAnsi" w:hAnsiTheme="majorHAnsi"/>
          <w:color w:val="000000"/>
        </w:rPr>
        <w:t xml:space="preserve">Прошедшая неделя на рынке была интересной, динамичной, но итоговый результат ее был близок к нулю. Наблюдающиеся на рынке консолидирующие колебания должны вскоре </w:t>
      </w:r>
      <w:proofErr w:type="gramStart"/>
      <w:r w:rsidRPr="00123AD0">
        <w:rPr>
          <w:rFonts w:asciiTheme="majorHAnsi" w:hAnsiTheme="majorHAnsi"/>
          <w:color w:val="000000"/>
        </w:rPr>
        <w:t>разрешится</w:t>
      </w:r>
      <w:proofErr w:type="gramEnd"/>
      <w:r w:rsidRPr="00123AD0">
        <w:rPr>
          <w:rFonts w:asciiTheme="majorHAnsi" w:hAnsiTheme="majorHAnsi"/>
          <w:color w:val="000000"/>
        </w:rPr>
        <w:t xml:space="preserve"> трендовым движением. Тем более</w:t>
      </w:r>
      <w:proofErr w:type="gramStart"/>
      <w:r w:rsidRPr="00123AD0">
        <w:rPr>
          <w:rFonts w:asciiTheme="majorHAnsi" w:hAnsiTheme="majorHAnsi"/>
          <w:color w:val="000000"/>
        </w:rPr>
        <w:t>,</w:t>
      </w:r>
      <w:proofErr w:type="gramEnd"/>
      <w:r w:rsidRPr="00123AD0">
        <w:rPr>
          <w:rFonts w:asciiTheme="majorHAnsi" w:hAnsiTheme="majorHAnsi"/>
          <w:color w:val="000000"/>
        </w:rPr>
        <w:t xml:space="preserve"> что впереди по курсу много событий, часть из которых вполне может быть </w:t>
      </w:r>
      <w:proofErr w:type="spellStart"/>
      <w:r w:rsidRPr="00123AD0">
        <w:rPr>
          <w:rFonts w:asciiTheme="majorHAnsi" w:hAnsiTheme="majorHAnsi"/>
          <w:color w:val="000000"/>
        </w:rPr>
        <w:t>трендообразующим</w:t>
      </w:r>
      <w:proofErr w:type="spellEnd"/>
      <w:r w:rsidRPr="00123AD0">
        <w:rPr>
          <w:rFonts w:asciiTheme="majorHAnsi" w:hAnsiTheme="majorHAnsi"/>
          <w:color w:val="000000"/>
        </w:rPr>
        <w:t xml:space="preserve"> фоном. </w:t>
      </w:r>
    </w:p>
    <w:p w:rsidR="00B75E4B" w:rsidRPr="00123AD0" w:rsidRDefault="00B75E4B" w:rsidP="00B75E4B">
      <w:pPr>
        <w:jc w:val="both"/>
        <w:rPr>
          <w:rFonts w:asciiTheme="majorHAnsi" w:hAnsiTheme="majorHAnsi"/>
          <w:color w:val="000000"/>
        </w:rPr>
      </w:pPr>
    </w:p>
    <w:p w:rsidR="00B75E4B" w:rsidRPr="00123AD0" w:rsidRDefault="00B75E4B" w:rsidP="00B75E4B">
      <w:pPr>
        <w:jc w:val="both"/>
        <w:rPr>
          <w:rFonts w:asciiTheme="majorHAnsi" w:hAnsiTheme="majorHAnsi"/>
        </w:rPr>
      </w:pPr>
      <w:r w:rsidRPr="00123AD0">
        <w:rPr>
          <w:rFonts w:asciiTheme="majorHAnsi" w:hAnsiTheme="majorHAnsi"/>
          <w:color w:val="000000"/>
        </w:rPr>
        <w:t xml:space="preserve">На наступающей неделе ожидается выход отчетных данных </w:t>
      </w:r>
      <w:r w:rsidRPr="00123AD0">
        <w:rPr>
          <w:rFonts w:asciiTheme="majorHAnsi" w:hAnsiTheme="majorHAnsi"/>
        </w:rPr>
        <w:t xml:space="preserve">ТНК-ВР и </w:t>
      </w:r>
      <w:proofErr w:type="spellStart"/>
      <w:r w:rsidRPr="00123AD0">
        <w:rPr>
          <w:rFonts w:asciiTheme="majorHAnsi" w:hAnsiTheme="majorHAnsi"/>
        </w:rPr>
        <w:t>Mail.ru</w:t>
      </w:r>
      <w:proofErr w:type="spellEnd"/>
      <w:r w:rsidRPr="00123AD0">
        <w:rPr>
          <w:rFonts w:asciiTheme="majorHAnsi" w:hAnsiTheme="majorHAnsi"/>
        </w:rPr>
        <w:t xml:space="preserve"> </w:t>
      </w:r>
      <w:proofErr w:type="spellStart"/>
      <w:r w:rsidRPr="00123AD0">
        <w:rPr>
          <w:rFonts w:asciiTheme="majorHAnsi" w:hAnsiTheme="majorHAnsi"/>
        </w:rPr>
        <w:t>Group</w:t>
      </w:r>
      <w:proofErr w:type="spellEnd"/>
      <w:r w:rsidRPr="00123AD0">
        <w:rPr>
          <w:rFonts w:asciiTheme="majorHAnsi" w:hAnsiTheme="majorHAnsi"/>
        </w:rPr>
        <w:t xml:space="preserve">. </w:t>
      </w:r>
      <w:proofErr w:type="spellStart"/>
      <w:r w:rsidRPr="00123AD0">
        <w:rPr>
          <w:rFonts w:asciiTheme="majorHAnsi" w:hAnsiTheme="majorHAnsi"/>
        </w:rPr>
        <w:t>Дикси</w:t>
      </w:r>
      <w:proofErr w:type="spellEnd"/>
      <w:r w:rsidRPr="00123AD0">
        <w:rPr>
          <w:rFonts w:asciiTheme="majorHAnsi" w:hAnsiTheme="majorHAnsi"/>
        </w:rPr>
        <w:t xml:space="preserve"> представит операционные результаты. Вполне вероятна публикация отчетных данных Газпрома по МСФО за 2 кв. 2011г. От заседания Совета директоров ЦБ 28 октября ожидается решение по ставкам. Однако, судя по заявлениям </w:t>
      </w:r>
      <w:proofErr w:type="spellStart"/>
      <w:r w:rsidRPr="00123AD0">
        <w:rPr>
          <w:rFonts w:asciiTheme="majorHAnsi" w:hAnsiTheme="majorHAnsi"/>
        </w:rPr>
        <w:t>Улюкаева</w:t>
      </w:r>
      <w:proofErr w:type="spellEnd"/>
      <w:r w:rsidRPr="00123AD0">
        <w:rPr>
          <w:rFonts w:asciiTheme="majorHAnsi" w:hAnsiTheme="majorHAnsi"/>
        </w:rPr>
        <w:t xml:space="preserve">, учетная ставка будет сохранена на уровне 8,25%. Но внутренние новости не будут приоритетом для рынка. </w:t>
      </w:r>
    </w:p>
    <w:p w:rsidR="00B75E4B" w:rsidRPr="00123AD0" w:rsidRDefault="00B75E4B" w:rsidP="00B75E4B">
      <w:pPr>
        <w:jc w:val="both"/>
        <w:rPr>
          <w:rFonts w:asciiTheme="majorHAnsi" w:hAnsiTheme="majorHAnsi"/>
        </w:rPr>
      </w:pPr>
    </w:p>
    <w:p w:rsidR="00B75E4B" w:rsidRPr="00123AD0" w:rsidRDefault="00B75E4B" w:rsidP="00B75E4B">
      <w:pPr>
        <w:jc w:val="both"/>
        <w:rPr>
          <w:rFonts w:asciiTheme="majorHAnsi" w:hAnsiTheme="majorHAnsi"/>
        </w:rPr>
      </w:pPr>
      <w:r w:rsidRPr="00123AD0">
        <w:rPr>
          <w:rFonts w:asciiTheme="majorHAnsi" w:hAnsiTheme="majorHAnsi"/>
        </w:rPr>
        <w:t xml:space="preserve">Из зарубежных новостей отметим продолжающийся выход отчетов крупных международных компаний. Отчетные данные прорисовывают результаты третьего квартала. В США выйдут заказы на товары длительного пользования, индекс потребительской уверенности, продажи новостроек, персональные доходы,  первичные заявки на пособия по безработице и, самое главное, первичные оценки динамики ВВП по итогам 3 квартала. Аналогичные данные начнут появляться и по другим странам (Предварительное значение ВВП Великобритании выйдет даже раньше США). Все это будет воздействовать на рынки, дергая их в ту или иную сторону. </w:t>
      </w:r>
    </w:p>
    <w:p w:rsidR="00B75E4B" w:rsidRPr="00123AD0" w:rsidRDefault="00B75E4B" w:rsidP="00B75E4B">
      <w:pPr>
        <w:jc w:val="both"/>
        <w:rPr>
          <w:rFonts w:asciiTheme="majorHAnsi" w:hAnsiTheme="majorHAnsi"/>
        </w:rPr>
      </w:pPr>
    </w:p>
    <w:p w:rsidR="00B75E4B" w:rsidRPr="00123AD0" w:rsidRDefault="00B75E4B" w:rsidP="00B75E4B">
      <w:pPr>
        <w:jc w:val="both"/>
        <w:rPr>
          <w:rFonts w:asciiTheme="majorHAnsi" w:hAnsiTheme="majorHAnsi"/>
        </w:rPr>
      </w:pPr>
      <w:r w:rsidRPr="00123AD0">
        <w:rPr>
          <w:rFonts w:asciiTheme="majorHAnsi" w:hAnsiTheme="majorHAnsi"/>
        </w:rPr>
        <w:t xml:space="preserve">Однако главные тренды будут обозначаться на саммите Евросоюза. По существу там будет решаться  вопрос о том, насколько мощной будет новая волна денежной накачки во спасение долгов Греции и иных стран и банков. После первого раунда встречи на высшем уровне 23 октября становится понятной, что доля ответственности кредиторов упорно приближается к 50-60%. В этой связи потребуется </w:t>
      </w:r>
      <w:proofErr w:type="spellStart"/>
      <w:r w:rsidRPr="00123AD0">
        <w:rPr>
          <w:rFonts w:asciiTheme="majorHAnsi" w:hAnsiTheme="majorHAnsi"/>
        </w:rPr>
        <w:t>рекапитализация</w:t>
      </w:r>
      <w:proofErr w:type="spellEnd"/>
      <w:r w:rsidRPr="00123AD0">
        <w:rPr>
          <w:rFonts w:asciiTheme="majorHAnsi" w:hAnsiTheme="majorHAnsi"/>
        </w:rPr>
        <w:t xml:space="preserve"> банковской системы в 100-200 млрд. евро. Интересно где они возьму быстро столько денег? </w:t>
      </w:r>
    </w:p>
    <w:p w:rsidR="00B75E4B" w:rsidRPr="00123AD0" w:rsidRDefault="00B75E4B" w:rsidP="00B75E4B">
      <w:pPr>
        <w:jc w:val="both"/>
        <w:rPr>
          <w:rFonts w:asciiTheme="majorHAnsi" w:hAnsiTheme="majorHAnsi"/>
        </w:rPr>
      </w:pPr>
    </w:p>
    <w:p w:rsidR="00B75E4B" w:rsidRPr="00123AD0" w:rsidRDefault="00B75E4B" w:rsidP="00B75E4B">
      <w:pPr>
        <w:jc w:val="both"/>
        <w:rPr>
          <w:rFonts w:asciiTheme="majorHAnsi" w:hAnsiTheme="majorHAnsi"/>
        </w:rPr>
      </w:pPr>
      <w:r w:rsidRPr="00123AD0">
        <w:rPr>
          <w:rFonts w:asciiTheme="majorHAnsi" w:hAnsiTheme="majorHAnsi"/>
        </w:rPr>
        <w:t xml:space="preserve">По заявлению главы саммита </w:t>
      </w:r>
      <w:proofErr w:type="spellStart"/>
      <w:r w:rsidRPr="00123AD0">
        <w:rPr>
          <w:rFonts w:asciiTheme="majorHAnsi" w:hAnsiTheme="majorHAnsi"/>
        </w:rPr>
        <w:t>Херман</w:t>
      </w:r>
      <w:proofErr w:type="spellEnd"/>
      <w:r w:rsidRPr="00123AD0">
        <w:rPr>
          <w:rFonts w:asciiTheme="majorHAnsi" w:hAnsiTheme="majorHAnsi"/>
        </w:rPr>
        <w:t xml:space="preserve"> </w:t>
      </w:r>
      <w:proofErr w:type="spellStart"/>
      <w:r w:rsidRPr="00123AD0">
        <w:rPr>
          <w:rFonts w:asciiTheme="majorHAnsi" w:hAnsiTheme="majorHAnsi"/>
        </w:rPr>
        <w:t>ван</w:t>
      </w:r>
      <w:proofErr w:type="spellEnd"/>
      <w:r w:rsidRPr="00123AD0">
        <w:rPr>
          <w:rFonts w:asciiTheme="majorHAnsi" w:hAnsiTheme="majorHAnsi"/>
        </w:rPr>
        <w:t xml:space="preserve"> </w:t>
      </w:r>
      <w:proofErr w:type="spellStart"/>
      <w:r w:rsidRPr="00123AD0">
        <w:rPr>
          <w:rFonts w:asciiTheme="majorHAnsi" w:hAnsiTheme="majorHAnsi"/>
        </w:rPr>
        <w:t>Ромпей</w:t>
      </w:r>
      <w:proofErr w:type="spellEnd"/>
      <w:r w:rsidRPr="00123AD0">
        <w:rPr>
          <w:rFonts w:asciiTheme="majorHAnsi" w:hAnsiTheme="majorHAnsi"/>
        </w:rPr>
        <w:t xml:space="preserve"> пока не рассматривался вопрос об увеличении объемов Европейского фонда финансовой стабильности (EFSF) за счет государственных гарантий стран еврозоны. (Ходившие слухи об увеличении объемов фонда с 440 млрд. евро до 2 трлн. евро не получили воплощения в </w:t>
      </w:r>
      <w:proofErr w:type="spellStart"/>
      <w:r w:rsidRPr="00123AD0">
        <w:rPr>
          <w:rFonts w:asciiTheme="majorHAnsi" w:hAnsiTheme="majorHAnsi"/>
        </w:rPr>
        <w:t>проинфляционные</w:t>
      </w:r>
      <w:proofErr w:type="spellEnd"/>
      <w:r w:rsidRPr="00123AD0">
        <w:rPr>
          <w:rFonts w:asciiTheme="majorHAnsi" w:hAnsiTheme="majorHAnsi"/>
        </w:rPr>
        <w:t xml:space="preserve"> решения). Но проблемы требуют решения и скорей всего будет принято промежуточное решение, например, увеличить не до </w:t>
      </w:r>
      <w:proofErr w:type="gramStart"/>
      <w:r w:rsidRPr="00123AD0">
        <w:rPr>
          <w:rFonts w:asciiTheme="majorHAnsi" w:hAnsiTheme="majorHAnsi"/>
        </w:rPr>
        <w:t>2</w:t>
      </w:r>
      <w:proofErr w:type="gramEnd"/>
      <w:r w:rsidRPr="00123AD0">
        <w:rPr>
          <w:rFonts w:asciiTheme="majorHAnsi" w:hAnsiTheme="majorHAnsi"/>
        </w:rPr>
        <w:t xml:space="preserve"> но до 1 трлн. евро. Делать  что-то подобное </w:t>
      </w:r>
      <w:proofErr w:type="gramStart"/>
      <w:r w:rsidRPr="00123AD0">
        <w:rPr>
          <w:rFonts w:asciiTheme="majorHAnsi" w:hAnsiTheme="majorHAnsi"/>
        </w:rPr>
        <w:t>придется</w:t>
      </w:r>
      <w:proofErr w:type="gramEnd"/>
      <w:r w:rsidRPr="00123AD0">
        <w:rPr>
          <w:rFonts w:asciiTheme="majorHAnsi" w:hAnsiTheme="majorHAnsi"/>
        </w:rPr>
        <w:t xml:space="preserve"> ибо Греция не может существовать с доходностью двухлетних облигаций в 75%. (Кстати, минимальное ослабление темпов покупок облигаций стран периферии со стороны ЕЦБ дает сейчас новый виток роста доходности Италии и Испании). Договоренностей планируют достигнуть на втором раунде саммита Евросоюза 26 октября. Полагаем, что выработка путей решения долговых проблем предполагает запуск механизмов денежной накачки в том или ином виде. </w:t>
      </w:r>
    </w:p>
    <w:p w:rsidR="00B75E4B" w:rsidRPr="00123AD0" w:rsidRDefault="00B75E4B" w:rsidP="00B75E4B">
      <w:pPr>
        <w:jc w:val="both"/>
        <w:rPr>
          <w:rFonts w:asciiTheme="majorHAnsi" w:hAnsiTheme="majorHAnsi"/>
        </w:rPr>
      </w:pPr>
    </w:p>
    <w:p w:rsidR="00B75E4B" w:rsidRPr="00123AD0" w:rsidRDefault="00B75E4B" w:rsidP="00B75E4B">
      <w:pPr>
        <w:jc w:val="both"/>
        <w:rPr>
          <w:rFonts w:asciiTheme="majorHAnsi" w:hAnsiTheme="majorHAnsi"/>
        </w:rPr>
      </w:pPr>
      <w:r w:rsidRPr="00123AD0">
        <w:rPr>
          <w:rFonts w:asciiTheme="majorHAnsi" w:hAnsiTheme="majorHAnsi"/>
        </w:rPr>
        <w:t xml:space="preserve">А денежные ослабления должны будут стать топливом для возможного дальнейшего подрастания рынков. Позитивное открытие торгов на фондовых рынках в понедельник указывает на превалирующий боевой задор и мечущуюся в поисках приложений избыточную ликвидность. Утренним ростом сделана заявка на то, что зона неопределенности вблизи отметок 1450 пунктов по индексам РТС и ММВБ будет преодолеваться в сторону повышения. Вполне возможно, что попытки прервать горизонтальный дрейф будут предприняты сразу после саммита. (Но возможностей разочарования в результатах предстоящих высоких собраний пусть и с меньшей вероятностью, но тоже исключать нельзя). Поэтому полагаем, что кроме ставки на рост рынка вариантом действий является покупки дельта нейтральных позиций, рассчитанных на рост </w:t>
      </w:r>
      <w:proofErr w:type="spellStart"/>
      <w:r w:rsidRPr="00123AD0">
        <w:rPr>
          <w:rFonts w:asciiTheme="majorHAnsi" w:hAnsiTheme="majorHAnsi"/>
        </w:rPr>
        <w:t>волатильности</w:t>
      </w:r>
      <w:proofErr w:type="spellEnd"/>
      <w:r w:rsidRPr="00123AD0">
        <w:rPr>
          <w:rFonts w:asciiTheme="majorHAnsi" w:hAnsiTheme="majorHAnsi"/>
        </w:rPr>
        <w:t xml:space="preserve">. (Приближение заседания Комитета по открытым рынкам и саммита двадцатки, намеченных на 2-3 ноября, тоже будут увеличивать пугливость рынка </w:t>
      </w:r>
      <w:proofErr w:type="gramStart"/>
      <w:r w:rsidRPr="00123AD0">
        <w:rPr>
          <w:rFonts w:asciiTheme="majorHAnsi" w:hAnsiTheme="majorHAnsi"/>
        </w:rPr>
        <w:t>и</w:t>
      </w:r>
      <w:proofErr w:type="gramEnd"/>
      <w:r w:rsidRPr="00123AD0">
        <w:rPr>
          <w:rFonts w:asciiTheme="majorHAnsi" w:hAnsiTheme="majorHAnsi"/>
        </w:rPr>
        <w:t xml:space="preserve"> в конце концов приведут к зарождению тренда). Например, можно рекомендовать покупку встречных </w:t>
      </w:r>
      <w:r w:rsidRPr="00123AD0">
        <w:rPr>
          <w:rFonts w:asciiTheme="majorHAnsi" w:hAnsiTheme="majorHAnsi"/>
          <w:lang w:val="en-US"/>
        </w:rPr>
        <w:t>Call</w:t>
      </w:r>
      <w:r w:rsidRPr="00123AD0">
        <w:rPr>
          <w:rFonts w:asciiTheme="majorHAnsi" w:hAnsiTheme="majorHAnsi"/>
        </w:rPr>
        <w:t xml:space="preserve"> и </w:t>
      </w:r>
      <w:r w:rsidRPr="00123AD0">
        <w:rPr>
          <w:rFonts w:asciiTheme="majorHAnsi" w:hAnsiTheme="majorHAnsi"/>
          <w:lang w:val="en-US"/>
        </w:rPr>
        <w:t>Put</w:t>
      </w:r>
      <w:r w:rsidRPr="00123AD0">
        <w:rPr>
          <w:rFonts w:asciiTheme="majorHAnsi" w:hAnsiTheme="majorHAnsi"/>
        </w:rPr>
        <w:t xml:space="preserve"> опционов на индекс РТС.</w:t>
      </w:r>
    </w:p>
    <w:p w:rsidR="00123AD0" w:rsidRPr="00123AD0" w:rsidRDefault="00123AD0" w:rsidP="00B75E4B">
      <w:pPr>
        <w:jc w:val="both"/>
        <w:rPr>
          <w:rFonts w:asciiTheme="majorHAnsi" w:hAnsiTheme="majorHAnsi"/>
        </w:rPr>
      </w:pPr>
    </w:p>
    <w:p w:rsidR="00123AD0" w:rsidRPr="00123AD0" w:rsidRDefault="00123AD0" w:rsidP="00B75E4B">
      <w:pPr>
        <w:jc w:val="both"/>
        <w:rPr>
          <w:rFonts w:asciiTheme="majorHAnsi" w:hAnsiTheme="majorHAnsi"/>
        </w:rPr>
      </w:pPr>
    </w:p>
    <w:p w:rsidR="00123AD0" w:rsidRPr="00123AD0" w:rsidRDefault="00123AD0" w:rsidP="00123AD0">
      <w:pPr>
        <w:rPr>
          <w:rFonts w:asciiTheme="majorHAnsi" w:hAnsiTheme="majorHAnsi"/>
        </w:rPr>
      </w:pPr>
      <w:r w:rsidRPr="00123AD0">
        <w:rPr>
          <w:rFonts w:asciiTheme="majorHAnsi" w:hAnsiTheme="majorHAnsi" w:cs="Arial"/>
        </w:rPr>
        <w:t>Начальник аналитического отдела ИК "</w:t>
      </w:r>
      <w:proofErr w:type="spellStart"/>
      <w:r w:rsidRPr="00123AD0">
        <w:rPr>
          <w:rFonts w:asciiTheme="majorHAnsi" w:hAnsiTheme="majorHAnsi" w:cs="Arial"/>
        </w:rPr>
        <w:t>Церих</w:t>
      </w:r>
      <w:proofErr w:type="spellEnd"/>
      <w:r w:rsidRPr="00123AD0">
        <w:rPr>
          <w:rFonts w:asciiTheme="majorHAnsi" w:hAnsiTheme="majorHAnsi" w:cs="Arial"/>
        </w:rPr>
        <w:t xml:space="preserve"> </w:t>
      </w:r>
      <w:proofErr w:type="spellStart"/>
      <w:r w:rsidRPr="00123AD0">
        <w:rPr>
          <w:rFonts w:asciiTheme="majorHAnsi" w:hAnsiTheme="majorHAnsi" w:cs="Arial"/>
        </w:rPr>
        <w:t>Кэпитал</w:t>
      </w:r>
      <w:proofErr w:type="spellEnd"/>
      <w:r w:rsidRPr="00123AD0">
        <w:rPr>
          <w:rFonts w:asciiTheme="majorHAnsi" w:hAnsiTheme="majorHAnsi" w:cs="Arial"/>
        </w:rPr>
        <w:t xml:space="preserve"> Менеджмент" Николай </w:t>
      </w:r>
      <w:proofErr w:type="spellStart"/>
      <w:r w:rsidRPr="00123AD0">
        <w:rPr>
          <w:rFonts w:asciiTheme="majorHAnsi" w:hAnsiTheme="majorHAnsi" w:cs="Arial"/>
        </w:rPr>
        <w:t>Подлевских</w:t>
      </w:r>
      <w:proofErr w:type="spellEnd"/>
    </w:p>
    <w:p w:rsidR="00C66E65" w:rsidRDefault="00C66E65"/>
    <w:sectPr w:rsidR="00C66E65" w:rsidSect="00C66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proofState w:spelling="clean" w:grammar="clean"/>
  <w:defaultTabStop w:val="708"/>
  <w:characterSpacingControl w:val="doNotCompress"/>
  <w:compat/>
  <w:rsids>
    <w:rsidRoot w:val="00B75E4B"/>
    <w:rsid w:val="00123AD0"/>
    <w:rsid w:val="00456748"/>
    <w:rsid w:val="00B75E4B"/>
    <w:rsid w:val="00C66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5E4B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33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582</Words>
  <Characters>3322</Characters>
  <Application>Microsoft Office Word</Application>
  <DocSecurity>0</DocSecurity>
  <Lines>27</Lines>
  <Paragraphs>7</Paragraphs>
  <ScaleCrop>false</ScaleCrop>
  <Company>FINAM</Company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Danglichaninov</dc:creator>
  <cp:keywords/>
  <dc:description/>
  <cp:lastModifiedBy>Danglichaninov</cp:lastModifiedBy>
  <cp:revision>3</cp:revision>
  <dcterms:created xsi:type="dcterms:W3CDTF">2011-10-24T09:10:00Z</dcterms:created>
  <dcterms:modified xsi:type="dcterms:W3CDTF">2011-10-24T09:13:00Z</dcterms:modified>
</cp:coreProperties>
</file>