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56" w:rsidRDefault="006A047B" w:rsidP="00784956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6A047B">
        <w:rPr>
          <w:rFonts w:eastAsiaTheme="minorHAnsi"/>
          <w:color w:val="000000" w:themeColor="text1"/>
          <w:lang w:eastAsia="en-US"/>
        </w:rPr>
        <w:t>Севастьянов Андрей, аналитик банка «</w:t>
      </w:r>
      <w:proofErr w:type="spellStart"/>
      <w:r w:rsidRPr="006A047B">
        <w:rPr>
          <w:rFonts w:eastAsiaTheme="minorHAnsi"/>
          <w:color w:val="000000" w:themeColor="text1"/>
          <w:lang w:eastAsia="en-US"/>
        </w:rPr>
        <w:t>Петрокоммерц</w:t>
      </w:r>
      <w:proofErr w:type="spellEnd"/>
      <w:r w:rsidRPr="006A047B">
        <w:rPr>
          <w:rFonts w:eastAsiaTheme="minorHAnsi"/>
          <w:color w:val="000000" w:themeColor="text1"/>
          <w:lang w:eastAsia="en-US"/>
        </w:rPr>
        <w:t>».</w:t>
      </w:r>
    </w:p>
    <w:p w:rsidR="006A047B" w:rsidRDefault="006A047B" w:rsidP="00784956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</w:p>
    <w:p w:rsidR="006A047B" w:rsidRDefault="006A047B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A047B" w:rsidRPr="006A047B" w:rsidRDefault="006A047B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84956" w:rsidRPr="006A047B" w:rsidRDefault="00784956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047B">
        <w:rPr>
          <w:rFonts w:eastAsiaTheme="minorHAnsi"/>
          <w:lang w:eastAsia="en-US"/>
        </w:rPr>
        <w:t xml:space="preserve">Последнюю неделю на мировых фондовых рынках, пожалуй, можно назвать самой пессимистичной. Развитые рынки потеряли в капитализации порядка 2-3%: так, S&amp;P 500 снизился на 2,4% – до 1588 п. А индекс его </w:t>
      </w:r>
      <w:proofErr w:type="spellStart"/>
      <w:r w:rsidRPr="006A047B">
        <w:rPr>
          <w:rFonts w:eastAsiaTheme="minorHAnsi"/>
          <w:lang w:eastAsia="en-US"/>
        </w:rPr>
        <w:t>волатильности</w:t>
      </w:r>
      <w:proofErr w:type="spellEnd"/>
      <w:r w:rsidRPr="006A047B">
        <w:rPr>
          <w:rFonts w:eastAsiaTheme="minorHAnsi"/>
          <w:lang w:eastAsia="en-US"/>
        </w:rPr>
        <w:t xml:space="preserve"> VIX подскочил выше 20 </w:t>
      </w:r>
      <w:proofErr w:type="spellStart"/>
      <w:r w:rsidRPr="006A047B">
        <w:rPr>
          <w:rFonts w:eastAsiaTheme="minorHAnsi"/>
          <w:lang w:eastAsia="en-US"/>
        </w:rPr>
        <w:t>пп</w:t>
      </w:r>
      <w:proofErr w:type="spellEnd"/>
      <w:r w:rsidRPr="006A047B">
        <w:rPr>
          <w:rFonts w:eastAsiaTheme="minorHAnsi"/>
          <w:lang w:eastAsia="en-US"/>
        </w:rPr>
        <w:t xml:space="preserve">. с 16 </w:t>
      </w:r>
      <w:proofErr w:type="spellStart"/>
      <w:r w:rsidRPr="006A047B">
        <w:rPr>
          <w:rFonts w:eastAsiaTheme="minorHAnsi"/>
          <w:lang w:eastAsia="en-US"/>
        </w:rPr>
        <w:t>пп</w:t>
      </w:r>
      <w:proofErr w:type="spellEnd"/>
      <w:r w:rsidRPr="006A047B">
        <w:rPr>
          <w:rFonts w:eastAsiaTheme="minorHAnsi"/>
          <w:lang w:eastAsia="en-US"/>
        </w:rPr>
        <w:t xml:space="preserve">., что свидетельствует о наличии крайне негативных настроениях среди участников торгов. Исключением среди развитых рынков можно назвать только японский, где NIKKEI 225 прибавил 4,3%. Конечно же, главным событием, определившим настроения игроков, стали в середине недели итоги заседания FOMC ФРС и последующая пресс-конференция Б. </w:t>
      </w:r>
      <w:proofErr w:type="spellStart"/>
      <w:r w:rsidRPr="006A047B">
        <w:rPr>
          <w:rFonts w:eastAsiaTheme="minorHAnsi"/>
          <w:lang w:eastAsia="en-US"/>
        </w:rPr>
        <w:t>Бернанке</w:t>
      </w:r>
      <w:proofErr w:type="spellEnd"/>
      <w:r w:rsidRPr="006A047B">
        <w:rPr>
          <w:rFonts w:eastAsiaTheme="minorHAnsi"/>
          <w:lang w:eastAsia="en-US"/>
        </w:rPr>
        <w:t xml:space="preserve">. В предшествующие недели мировые рынки корректировались вниз в ожидании объявления  о сокращении объеме выкупа активов </w:t>
      </w:r>
      <w:proofErr w:type="spellStart"/>
      <w:r w:rsidRPr="006A047B">
        <w:rPr>
          <w:rFonts w:eastAsiaTheme="minorHAnsi"/>
          <w:lang w:eastAsia="en-US"/>
        </w:rPr>
        <w:t>Федрезервом</w:t>
      </w:r>
      <w:proofErr w:type="spellEnd"/>
      <w:r w:rsidRPr="006A047B">
        <w:rPr>
          <w:rFonts w:eastAsiaTheme="minorHAnsi"/>
          <w:lang w:eastAsia="en-US"/>
        </w:rPr>
        <w:t xml:space="preserve"> в рамках программы QE-3. </w:t>
      </w:r>
      <w:proofErr w:type="spellStart"/>
      <w:r w:rsidRPr="006A047B">
        <w:rPr>
          <w:rFonts w:eastAsiaTheme="minorHAnsi"/>
          <w:lang w:eastAsia="en-US"/>
        </w:rPr>
        <w:t>Бернанке</w:t>
      </w:r>
      <w:proofErr w:type="spellEnd"/>
      <w:r w:rsidRPr="006A047B">
        <w:rPr>
          <w:rFonts w:eastAsiaTheme="minorHAnsi"/>
          <w:lang w:eastAsia="en-US"/>
        </w:rPr>
        <w:t xml:space="preserve"> подтвердил эти опасения, заявив, что к концу года следует ожидать начало сворачивания QE-3, в случае улучшения ситуации в экономике США.</w:t>
      </w:r>
    </w:p>
    <w:p w:rsidR="00784956" w:rsidRPr="006A047B" w:rsidRDefault="00784956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84956" w:rsidRPr="006A047B" w:rsidRDefault="00784956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047B">
        <w:rPr>
          <w:rFonts w:eastAsiaTheme="minorHAnsi"/>
          <w:lang w:eastAsia="en-US"/>
        </w:rPr>
        <w:t xml:space="preserve">После этого рынки резко устремились вниз и потеряли в среднем 2%. Сворачивание мер экономического стимулирования – фактор, безусловно, негативный для ценных бумаг. В результате этого рынки лишаются одной из главных драйверов своего роста – денежной поддержки. Однако следует отметить, что подобная реакция, на наш взгляд, была чрезмерной. Председатель </w:t>
      </w:r>
      <w:proofErr w:type="gramStart"/>
      <w:r w:rsidRPr="006A047B">
        <w:rPr>
          <w:rFonts w:eastAsiaTheme="minorHAnsi"/>
          <w:lang w:eastAsia="en-US"/>
        </w:rPr>
        <w:t>ФРС</w:t>
      </w:r>
      <w:proofErr w:type="gramEnd"/>
      <w:r w:rsidRPr="006A047B">
        <w:rPr>
          <w:rFonts w:eastAsiaTheme="minorHAnsi"/>
          <w:lang w:eastAsia="en-US"/>
        </w:rPr>
        <w:t xml:space="preserve"> по сути подтвердил то, чего все и так ждали, и задолго до этого дисконтировали в ценах. </w:t>
      </w:r>
      <w:proofErr w:type="gramStart"/>
      <w:r w:rsidRPr="006A047B">
        <w:rPr>
          <w:rFonts w:eastAsiaTheme="minorHAnsi"/>
          <w:lang w:eastAsia="en-US"/>
        </w:rPr>
        <w:t xml:space="preserve">Негатива в среду добавила китайская статистика, где промышленный индекс PMI, рассчитываемый банком HSBC, снизился до 48,3 п. – минимума за 9 месяцев, – при этом ожидалось его снижение только до 49,1 п. На развивающимся рынках ситуация была еще более драматичной, чем на развитых: индекс MSCI EM упал на 4,7%. По данным опроса </w:t>
      </w:r>
      <w:proofErr w:type="spellStart"/>
      <w:r w:rsidRPr="006A047B">
        <w:rPr>
          <w:rFonts w:eastAsiaTheme="minorHAnsi"/>
          <w:lang w:eastAsia="en-US"/>
        </w:rPr>
        <w:t>BofA</w:t>
      </w:r>
      <w:proofErr w:type="spellEnd"/>
      <w:r w:rsidRPr="006A047B">
        <w:rPr>
          <w:rFonts w:eastAsiaTheme="minorHAnsi"/>
          <w:lang w:eastAsia="en-US"/>
        </w:rPr>
        <w:t xml:space="preserve"> </w:t>
      </w:r>
      <w:proofErr w:type="spellStart"/>
      <w:r w:rsidRPr="006A047B">
        <w:rPr>
          <w:rFonts w:eastAsiaTheme="minorHAnsi"/>
          <w:lang w:eastAsia="en-US"/>
        </w:rPr>
        <w:t>Merrill</w:t>
      </w:r>
      <w:proofErr w:type="spellEnd"/>
      <w:r w:rsidRPr="006A047B">
        <w:rPr>
          <w:rFonts w:eastAsiaTheme="minorHAnsi"/>
          <w:lang w:eastAsia="en-US"/>
        </w:rPr>
        <w:t xml:space="preserve"> </w:t>
      </w:r>
      <w:proofErr w:type="spellStart"/>
      <w:r w:rsidRPr="006A047B">
        <w:rPr>
          <w:rFonts w:eastAsiaTheme="minorHAnsi"/>
          <w:lang w:eastAsia="en-US"/>
        </w:rPr>
        <w:t>Lynch</w:t>
      </w:r>
      <w:proofErr w:type="spellEnd"/>
      <w:r w:rsidRPr="006A047B">
        <w:rPr>
          <w:rFonts w:eastAsiaTheme="minorHAnsi"/>
          <w:lang w:eastAsia="en-US"/>
        </w:rPr>
        <w:t xml:space="preserve"> управляющих фондами, впервые с декабря 2008 г</w:t>
      </w:r>
      <w:proofErr w:type="gramEnd"/>
      <w:r w:rsidRPr="006A047B">
        <w:rPr>
          <w:rFonts w:eastAsiaTheme="minorHAnsi"/>
          <w:lang w:eastAsia="en-US"/>
        </w:rPr>
        <w:t xml:space="preserve">. число пессимистов в отношении развивающихся рынков превысило число оптимистов из-за возможности жесткой посадки экономики Китая и сворачивания мер финансового стимулирования. Скверно чувствовали себя и товарные рынки: TR/J CRB </w:t>
      </w:r>
      <w:proofErr w:type="spellStart"/>
      <w:r w:rsidRPr="006A047B">
        <w:rPr>
          <w:rFonts w:eastAsiaTheme="minorHAnsi"/>
          <w:lang w:eastAsia="en-US"/>
        </w:rPr>
        <w:t>Index</w:t>
      </w:r>
      <w:proofErr w:type="spellEnd"/>
      <w:r w:rsidRPr="006A047B">
        <w:rPr>
          <w:rFonts w:eastAsiaTheme="minorHAnsi"/>
          <w:lang w:eastAsia="en-US"/>
        </w:rPr>
        <w:t xml:space="preserve"> упал на 2,3%. Крайне негативная картина сложилась на рынке золота, которое снизилось на 7% – ниже 1300 долл./тр. унцию. Нефть сорта </w:t>
      </w:r>
      <w:proofErr w:type="spellStart"/>
      <w:r w:rsidRPr="006A047B">
        <w:rPr>
          <w:rFonts w:eastAsiaTheme="minorHAnsi"/>
          <w:lang w:eastAsia="en-US"/>
        </w:rPr>
        <w:t>Brent</w:t>
      </w:r>
      <w:proofErr w:type="spellEnd"/>
      <w:r w:rsidRPr="006A047B">
        <w:rPr>
          <w:rFonts w:eastAsiaTheme="minorHAnsi"/>
          <w:lang w:eastAsia="en-US"/>
        </w:rPr>
        <w:t xml:space="preserve"> снизилась на 2,9% – до 102,7 долл./</w:t>
      </w:r>
      <w:proofErr w:type="spellStart"/>
      <w:r w:rsidRPr="006A047B">
        <w:rPr>
          <w:rFonts w:eastAsiaTheme="minorHAnsi"/>
          <w:lang w:eastAsia="en-US"/>
        </w:rPr>
        <w:t>барр</w:t>
      </w:r>
      <w:proofErr w:type="spellEnd"/>
      <w:r w:rsidRPr="006A047B">
        <w:rPr>
          <w:rFonts w:eastAsiaTheme="minorHAnsi"/>
          <w:lang w:eastAsia="en-US"/>
        </w:rPr>
        <w:t>.</w:t>
      </w:r>
    </w:p>
    <w:p w:rsidR="00784956" w:rsidRPr="006A047B" w:rsidRDefault="00784956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84956" w:rsidRPr="006A047B" w:rsidRDefault="00784956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047B">
        <w:rPr>
          <w:rFonts w:eastAsiaTheme="minorHAnsi"/>
          <w:lang w:eastAsia="en-US"/>
        </w:rPr>
        <w:t xml:space="preserve">Российский рынок акций оставался на неделе крайне </w:t>
      </w:r>
      <w:proofErr w:type="spellStart"/>
      <w:r w:rsidRPr="006A047B">
        <w:rPr>
          <w:rFonts w:eastAsiaTheme="minorHAnsi"/>
          <w:lang w:eastAsia="en-US"/>
        </w:rPr>
        <w:t>волатильным</w:t>
      </w:r>
      <w:proofErr w:type="spellEnd"/>
      <w:r w:rsidRPr="006A047B">
        <w:rPr>
          <w:rFonts w:eastAsiaTheme="minorHAnsi"/>
          <w:lang w:eastAsia="en-US"/>
        </w:rPr>
        <w:t>. Однако ему удалось выйти в положительную зону – индекс ММВБ прибавил 0,8% (долларовый индекс РТС снизился на 2,7% за счет девальвации рубля). Такое позитивное закрытие можно объяснить чрезмерным падением индекса в середине месяца. В прошедшие дни ряд публичных компаний опубликовали свою отчетность по МСФО за 1 квартал этого года. У «</w:t>
      </w:r>
      <w:proofErr w:type="spellStart"/>
      <w:r w:rsidRPr="006A047B">
        <w:rPr>
          <w:rFonts w:eastAsiaTheme="minorHAnsi"/>
          <w:lang w:eastAsia="en-US"/>
        </w:rPr>
        <w:t>Уралкалия</w:t>
      </w:r>
      <w:proofErr w:type="spellEnd"/>
      <w:r w:rsidRPr="006A047B">
        <w:rPr>
          <w:rFonts w:eastAsiaTheme="minorHAnsi"/>
          <w:lang w:eastAsia="en-US"/>
        </w:rPr>
        <w:t>» (-1%) выручка упала на 18% – до $738 млн из-за низких цен на его продукцию. EBITDA «</w:t>
      </w:r>
      <w:proofErr w:type="spellStart"/>
      <w:r w:rsidRPr="006A047B">
        <w:rPr>
          <w:rFonts w:eastAsiaTheme="minorHAnsi"/>
          <w:lang w:eastAsia="en-US"/>
        </w:rPr>
        <w:t>Мечела</w:t>
      </w:r>
      <w:proofErr w:type="spellEnd"/>
      <w:r w:rsidRPr="006A047B">
        <w:rPr>
          <w:rFonts w:eastAsiaTheme="minorHAnsi"/>
          <w:lang w:eastAsia="en-US"/>
        </w:rPr>
        <w:t xml:space="preserve">» (2,9%) составила $210 млн и оказалась на уровне прогнозов, но при этом снизилась его чистая прибыль. Главным позитивом для этой компании стало объявление </w:t>
      </w:r>
      <w:proofErr w:type="spellStart"/>
      <w:r w:rsidRPr="006A047B">
        <w:rPr>
          <w:rFonts w:eastAsiaTheme="minorHAnsi"/>
          <w:lang w:eastAsia="en-US"/>
        </w:rPr>
        <w:t>bay-back</w:t>
      </w:r>
      <w:proofErr w:type="spellEnd"/>
      <w:r w:rsidRPr="006A047B">
        <w:rPr>
          <w:rFonts w:eastAsiaTheme="minorHAnsi"/>
          <w:lang w:eastAsia="en-US"/>
        </w:rPr>
        <w:t xml:space="preserve"> ADR на $100 млн. (в день объявления новости акции поднимались на 7,8%). АФК «Система» (4,5%) отчиталась немного лучше ожиданий по чистой прибыли и рентабельности EBITDA. «</w:t>
      </w:r>
      <w:proofErr w:type="spellStart"/>
      <w:r w:rsidRPr="006A047B">
        <w:rPr>
          <w:rFonts w:eastAsiaTheme="minorHAnsi"/>
          <w:lang w:eastAsia="en-US"/>
        </w:rPr>
        <w:t>Квадра</w:t>
      </w:r>
      <w:proofErr w:type="spellEnd"/>
      <w:r w:rsidRPr="006A047B">
        <w:rPr>
          <w:rFonts w:eastAsiaTheme="minorHAnsi"/>
          <w:lang w:eastAsia="en-US"/>
        </w:rPr>
        <w:t xml:space="preserve">» (ТГК-4) упала на 15,8%, так как ФАС отказала «Газпром </w:t>
      </w:r>
      <w:proofErr w:type="spellStart"/>
      <w:r w:rsidRPr="006A047B">
        <w:rPr>
          <w:rFonts w:eastAsiaTheme="minorHAnsi"/>
          <w:lang w:eastAsia="en-US"/>
        </w:rPr>
        <w:t>энергохолдингу</w:t>
      </w:r>
      <w:proofErr w:type="spellEnd"/>
      <w:r w:rsidRPr="006A047B">
        <w:rPr>
          <w:rFonts w:eastAsiaTheme="minorHAnsi"/>
          <w:lang w:eastAsia="en-US"/>
        </w:rPr>
        <w:t xml:space="preserve">» в покупке пакета объемом почти 50% у </w:t>
      </w:r>
      <w:proofErr w:type="spellStart"/>
      <w:r w:rsidRPr="006A047B">
        <w:rPr>
          <w:rFonts w:eastAsiaTheme="minorHAnsi"/>
          <w:lang w:eastAsia="en-US"/>
        </w:rPr>
        <w:t>Onexim</w:t>
      </w:r>
      <w:proofErr w:type="spellEnd"/>
      <w:r w:rsidRPr="006A047B">
        <w:rPr>
          <w:rFonts w:eastAsiaTheme="minorHAnsi"/>
          <w:lang w:eastAsia="en-US"/>
        </w:rPr>
        <w:t xml:space="preserve"> М. Прохорова. Подъем «Роснефти» на 5,3% объясняется планами по заключению контракта с китайской CNPC на XVII ПМЭФ на поставку нефти в объеме 365 млн тонн в течени</w:t>
      </w:r>
      <w:proofErr w:type="gramStart"/>
      <w:r w:rsidRPr="006A047B">
        <w:rPr>
          <w:rFonts w:eastAsiaTheme="minorHAnsi"/>
          <w:lang w:eastAsia="en-US"/>
        </w:rPr>
        <w:t>и</w:t>
      </w:r>
      <w:proofErr w:type="gramEnd"/>
      <w:r w:rsidRPr="006A047B">
        <w:rPr>
          <w:rFonts w:eastAsiaTheme="minorHAnsi"/>
          <w:lang w:eastAsia="en-US"/>
        </w:rPr>
        <w:t xml:space="preserve"> 25 лет. Под будущую поставку CNPC должна внести аванс в размере $70 млрд, который покроет все затраты на приобретение ТНК-</w:t>
      </w:r>
      <w:proofErr w:type="gramStart"/>
      <w:r w:rsidRPr="006A047B">
        <w:rPr>
          <w:rFonts w:eastAsiaTheme="minorHAnsi"/>
          <w:lang w:eastAsia="en-US"/>
        </w:rPr>
        <w:t>BP</w:t>
      </w:r>
      <w:proofErr w:type="gramEnd"/>
      <w:r w:rsidRPr="006A047B">
        <w:rPr>
          <w:rFonts w:eastAsiaTheme="minorHAnsi"/>
          <w:lang w:eastAsia="en-US"/>
        </w:rPr>
        <w:t xml:space="preserve">. Кроме того, президент компании И. </w:t>
      </w:r>
      <w:proofErr w:type="spellStart"/>
      <w:r w:rsidRPr="006A047B">
        <w:rPr>
          <w:rFonts w:eastAsiaTheme="minorHAnsi"/>
          <w:lang w:eastAsia="en-US"/>
        </w:rPr>
        <w:t>Сечин</w:t>
      </w:r>
      <w:proofErr w:type="spellEnd"/>
      <w:r w:rsidRPr="006A047B">
        <w:rPr>
          <w:rFonts w:eastAsiaTheme="minorHAnsi"/>
          <w:lang w:eastAsia="en-US"/>
        </w:rPr>
        <w:t xml:space="preserve"> пообещал постепенно повышать выплаты дивидендов. Рост «</w:t>
      </w:r>
      <w:proofErr w:type="spellStart"/>
      <w:r w:rsidRPr="006A047B">
        <w:rPr>
          <w:rFonts w:eastAsiaTheme="minorHAnsi"/>
          <w:lang w:eastAsia="en-US"/>
        </w:rPr>
        <w:t>НОВАТЭКа</w:t>
      </w:r>
      <w:proofErr w:type="spellEnd"/>
      <w:r w:rsidRPr="006A047B">
        <w:rPr>
          <w:rFonts w:eastAsiaTheme="minorHAnsi"/>
          <w:lang w:eastAsia="en-US"/>
        </w:rPr>
        <w:t xml:space="preserve">» на 7,3% можно объяснить повышением прогноза </w:t>
      </w:r>
      <w:proofErr w:type="spellStart"/>
      <w:r w:rsidRPr="006A047B">
        <w:rPr>
          <w:rFonts w:eastAsiaTheme="minorHAnsi"/>
          <w:lang w:eastAsia="en-US"/>
        </w:rPr>
        <w:t>BofA</w:t>
      </w:r>
      <w:proofErr w:type="spellEnd"/>
      <w:r w:rsidRPr="006A047B">
        <w:rPr>
          <w:rFonts w:eastAsiaTheme="minorHAnsi"/>
          <w:lang w:eastAsia="en-US"/>
        </w:rPr>
        <w:t xml:space="preserve"> </w:t>
      </w:r>
      <w:proofErr w:type="spellStart"/>
      <w:r w:rsidRPr="006A047B">
        <w:rPr>
          <w:rFonts w:eastAsiaTheme="minorHAnsi"/>
          <w:lang w:eastAsia="en-US"/>
        </w:rPr>
        <w:t>Merrill</w:t>
      </w:r>
      <w:proofErr w:type="spellEnd"/>
      <w:r w:rsidRPr="006A047B">
        <w:rPr>
          <w:rFonts w:eastAsiaTheme="minorHAnsi"/>
          <w:lang w:eastAsia="en-US"/>
        </w:rPr>
        <w:t xml:space="preserve"> </w:t>
      </w:r>
      <w:proofErr w:type="spellStart"/>
      <w:r w:rsidRPr="006A047B">
        <w:rPr>
          <w:rFonts w:eastAsiaTheme="minorHAnsi"/>
          <w:lang w:eastAsia="en-US"/>
        </w:rPr>
        <w:t>Lynch</w:t>
      </w:r>
      <w:proofErr w:type="spellEnd"/>
      <w:r w:rsidRPr="006A047B">
        <w:rPr>
          <w:rFonts w:eastAsiaTheme="minorHAnsi"/>
          <w:lang w:eastAsia="en-US"/>
        </w:rPr>
        <w:t xml:space="preserve"> GDR с $115 до $140 и рекомендации с «держать» до «покупать». Также в пятницу компания на ПМЭФ </w:t>
      </w:r>
      <w:r w:rsidRPr="006A047B">
        <w:rPr>
          <w:rFonts w:eastAsiaTheme="minorHAnsi"/>
          <w:lang w:eastAsia="en-US"/>
        </w:rPr>
        <w:lastRenderedPageBreak/>
        <w:t>привлекла CNPC в свой проект «</w:t>
      </w:r>
      <w:proofErr w:type="spellStart"/>
      <w:r w:rsidRPr="006A047B">
        <w:rPr>
          <w:rFonts w:eastAsiaTheme="minorHAnsi"/>
          <w:lang w:eastAsia="en-US"/>
        </w:rPr>
        <w:t>Ямал-СПГ</w:t>
      </w:r>
      <w:proofErr w:type="spellEnd"/>
      <w:r w:rsidRPr="006A047B">
        <w:rPr>
          <w:rFonts w:eastAsiaTheme="minorHAnsi"/>
          <w:lang w:eastAsia="en-US"/>
        </w:rPr>
        <w:t xml:space="preserve">» и заключила с китайцами контракт на поставку СПГ. Высокая </w:t>
      </w:r>
      <w:proofErr w:type="spellStart"/>
      <w:r w:rsidRPr="006A047B">
        <w:rPr>
          <w:rFonts w:eastAsiaTheme="minorHAnsi"/>
          <w:lang w:eastAsia="en-US"/>
        </w:rPr>
        <w:t>волатильность</w:t>
      </w:r>
      <w:proofErr w:type="spellEnd"/>
      <w:r w:rsidRPr="006A047B">
        <w:rPr>
          <w:rFonts w:eastAsiaTheme="minorHAnsi"/>
          <w:lang w:eastAsia="en-US"/>
        </w:rPr>
        <w:t xml:space="preserve"> «</w:t>
      </w:r>
      <w:proofErr w:type="spellStart"/>
      <w:r w:rsidRPr="006A047B">
        <w:rPr>
          <w:rFonts w:eastAsiaTheme="minorHAnsi"/>
          <w:lang w:eastAsia="en-US"/>
        </w:rPr>
        <w:t>Ростелкома</w:t>
      </w:r>
      <w:proofErr w:type="spellEnd"/>
      <w:r w:rsidRPr="006A047B">
        <w:rPr>
          <w:rFonts w:eastAsiaTheme="minorHAnsi"/>
          <w:lang w:eastAsia="en-US"/>
        </w:rPr>
        <w:t xml:space="preserve">» (-0,9%) была обусловлена муссировавшимися в прессе слухами об изменениях планов приватизации компании. Интересным событием стало размещение </w:t>
      </w:r>
      <w:proofErr w:type="spellStart"/>
      <w:r w:rsidRPr="006A047B">
        <w:rPr>
          <w:rFonts w:eastAsiaTheme="minorHAnsi"/>
          <w:lang w:eastAsia="en-US"/>
        </w:rPr>
        <w:t>Polimetal</w:t>
      </w:r>
      <w:proofErr w:type="spellEnd"/>
      <w:r w:rsidRPr="006A047B">
        <w:rPr>
          <w:rFonts w:eastAsiaTheme="minorHAnsi"/>
          <w:lang w:eastAsia="en-US"/>
        </w:rPr>
        <w:t xml:space="preserve"> </w:t>
      </w:r>
      <w:proofErr w:type="spellStart"/>
      <w:r w:rsidRPr="006A047B">
        <w:rPr>
          <w:rFonts w:eastAsiaTheme="minorHAnsi"/>
          <w:lang w:eastAsia="en-US"/>
        </w:rPr>
        <w:t>International</w:t>
      </w:r>
      <w:proofErr w:type="spellEnd"/>
      <w:r w:rsidRPr="006A047B">
        <w:rPr>
          <w:rFonts w:eastAsiaTheme="minorHAnsi"/>
          <w:lang w:eastAsia="en-US"/>
        </w:rPr>
        <w:t xml:space="preserve"> </w:t>
      </w:r>
      <w:proofErr w:type="spellStart"/>
      <w:r w:rsidRPr="006A047B">
        <w:rPr>
          <w:rFonts w:eastAsiaTheme="minorHAnsi"/>
          <w:lang w:eastAsia="en-US"/>
        </w:rPr>
        <w:t>plc</w:t>
      </w:r>
      <w:proofErr w:type="spellEnd"/>
      <w:r w:rsidRPr="006A047B">
        <w:rPr>
          <w:rFonts w:eastAsiaTheme="minorHAnsi"/>
          <w:lang w:eastAsia="en-US"/>
        </w:rPr>
        <w:t xml:space="preserve"> – первой зарубежной компании, – своих акций на «Московской Бирже» по 305,69 руб. за бумагу в объеме 0,41% уставного капитала. Однако негативная ситуация на рынке и сильное падение цен на золото привели к падению ее акций на 11,7%. Из других бумаг выросших в цене отметим: «Газпром» (-0,1%), МТС (0,2%), НЛМК (3,3%), «Магнит» (0,6%), «</w:t>
      </w:r>
      <w:proofErr w:type="spellStart"/>
      <w:r w:rsidRPr="006A047B">
        <w:rPr>
          <w:rFonts w:eastAsiaTheme="minorHAnsi"/>
          <w:lang w:eastAsia="en-US"/>
        </w:rPr>
        <w:t>РусГидро</w:t>
      </w:r>
      <w:proofErr w:type="spellEnd"/>
      <w:r w:rsidRPr="006A047B">
        <w:rPr>
          <w:rFonts w:eastAsiaTheme="minorHAnsi"/>
          <w:lang w:eastAsia="en-US"/>
        </w:rPr>
        <w:t>» (1,4%) и «</w:t>
      </w:r>
      <w:proofErr w:type="spellStart"/>
      <w:r w:rsidRPr="006A047B">
        <w:rPr>
          <w:rFonts w:eastAsiaTheme="minorHAnsi"/>
          <w:lang w:eastAsia="en-US"/>
        </w:rPr>
        <w:t>Сургутнефтегаз</w:t>
      </w:r>
      <w:proofErr w:type="spellEnd"/>
      <w:r w:rsidRPr="006A047B">
        <w:rPr>
          <w:rFonts w:eastAsiaTheme="minorHAnsi"/>
          <w:lang w:eastAsia="en-US"/>
        </w:rPr>
        <w:t xml:space="preserve">» (1,7%), а </w:t>
      </w:r>
      <w:proofErr w:type="gramStart"/>
      <w:r w:rsidRPr="006A047B">
        <w:rPr>
          <w:rFonts w:eastAsiaTheme="minorHAnsi"/>
          <w:lang w:eastAsia="en-US"/>
        </w:rPr>
        <w:t>из</w:t>
      </w:r>
      <w:proofErr w:type="gramEnd"/>
      <w:r w:rsidRPr="006A047B">
        <w:rPr>
          <w:rFonts w:eastAsiaTheme="minorHAnsi"/>
          <w:lang w:eastAsia="en-US"/>
        </w:rPr>
        <w:t xml:space="preserve"> снизившихся: ВТБ (-0,3%), ГМК «</w:t>
      </w:r>
      <w:proofErr w:type="spellStart"/>
      <w:r w:rsidRPr="006A047B">
        <w:rPr>
          <w:rFonts w:eastAsiaTheme="minorHAnsi"/>
          <w:lang w:eastAsia="en-US"/>
        </w:rPr>
        <w:t>НорНикель</w:t>
      </w:r>
      <w:proofErr w:type="spellEnd"/>
      <w:r w:rsidRPr="006A047B">
        <w:rPr>
          <w:rFonts w:eastAsiaTheme="minorHAnsi"/>
          <w:lang w:eastAsia="en-US"/>
        </w:rPr>
        <w:t>» (-0,7%), «</w:t>
      </w:r>
      <w:proofErr w:type="spellStart"/>
      <w:r w:rsidRPr="006A047B">
        <w:rPr>
          <w:rFonts w:eastAsiaTheme="minorHAnsi"/>
          <w:lang w:eastAsia="en-US"/>
        </w:rPr>
        <w:t>Лукойл</w:t>
      </w:r>
      <w:proofErr w:type="spellEnd"/>
      <w:r w:rsidRPr="006A047B">
        <w:rPr>
          <w:rFonts w:eastAsiaTheme="minorHAnsi"/>
          <w:lang w:eastAsia="en-US"/>
        </w:rPr>
        <w:t>» (-0,4%), «Сбербанк» (-1,1%), «</w:t>
      </w:r>
      <w:proofErr w:type="spellStart"/>
      <w:r w:rsidRPr="006A047B">
        <w:rPr>
          <w:rFonts w:eastAsiaTheme="minorHAnsi"/>
          <w:lang w:eastAsia="en-US"/>
        </w:rPr>
        <w:t>Транснефть</w:t>
      </w:r>
      <w:proofErr w:type="spellEnd"/>
      <w:r w:rsidRPr="006A047B">
        <w:rPr>
          <w:rFonts w:eastAsiaTheme="minorHAnsi"/>
          <w:lang w:eastAsia="en-US"/>
        </w:rPr>
        <w:t>» пр. (-0,2%) и «</w:t>
      </w:r>
      <w:proofErr w:type="spellStart"/>
      <w:r w:rsidRPr="006A047B">
        <w:rPr>
          <w:rFonts w:eastAsiaTheme="minorHAnsi"/>
          <w:lang w:eastAsia="en-US"/>
        </w:rPr>
        <w:t>Уралкалий</w:t>
      </w:r>
      <w:proofErr w:type="spellEnd"/>
      <w:r w:rsidRPr="006A047B">
        <w:rPr>
          <w:rFonts w:eastAsiaTheme="minorHAnsi"/>
          <w:lang w:eastAsia="en-US"/>
        </w:rPr>
        <w:t xml:space="preserve">» (-0,8%). </w:t>
      </w:r>
    </w:p>
    <w:p w:rsidR="00784956" w:rsidRPr="006A047B" w:rsidRDefault="00784956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A047B" w:rsidRPr="006A047B" w:rsidRDefault="00784956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047B">
        <w:rPr>
          <w:rFonts w:eastAsiaTheme="minorHAnsi"/>
          <w:lang w:eastAsia="en-US"/>
        </w:rPr>
        <w:t>Российский рынок пока остается в рамках нисходящего тренда. Его нижняя граница нам видится на уровне 1250 п. по индексу ММВБ – у минимума 2012 г. Не</w:t>
      </w:r>
      <w:r w:rsidR="006A047B">
        <w:rPr>
          <w:rFonts w:eastAsiaTheme="minorHAnsi"/>
          <w:lang w:eastAsia="en-US"/>
        </w:rPr>
        <w:t xml:space="preserve"> </w:t>
      </w:r>
      <w:r w:rsidRPr="006A047B">
        <w:rPr>
          <w:rFonts w:eastAsiaTheme="minorHAnsi"/>
          <w:lang w:eastAsia="en-US"/>
        </w:rPr>
        <w:t xml:space="preserve">исключено, что в ближайшей перспективе индекс попробует еще раз протестировать минимум этого года, установленный на прошлой неделе (1303 </w:t>
      </w:r>
      <w:proofErr w:type="spellStart"/>
      <w:r w:rsidRPr="006A047B">
        <w:rPr>
          <w:rFonts w:eastAsiaTheme="minorHAnsi"/>
          <w:lang w:eastAsia="en-US"/>
        </w:rPr>
        <w:t>пп</w:t>
      </w:r>
      <w:proofErr w:type="spellEnd"/>
      <w:r w:rsidRPr="006A047B">
        <w:rPr>
          <w:rFonts w:eastAsiaTheme="minorHAnsi"/>
          <w:lang w:eastAsia="en-US"/>
        </w:rPr>
        <w:t>.). При этом</w:t>
      </w:r>
      <w:r w:rsidR="006A047B">
        <w:rPr>
          <w:rFonts w:eastAsiaTheme="minorHAnsi"/>
          <w:lang w:eastAsia="en-US"/>
        </w:rPr>
        <w:t xml:space="preserve"> </w:t>
      </w:r>
      <w:r w:rsidRPr="006A047B">
        <w:rPr>
          <w:rFonts w:eastAsiaTheme="minorHAnsi"/>
          <w:lang w:eastAsia="en-US"/>
        </w:rPr>
        <w:t xml:space="preserve">высокая </w:t>
      </w:r>
      <w:proofErr w:type="spellStart"/>
      <w:r w:rsidRPr="006A047B">
        <w:rPr>
          <w:rFonts w:eastAsiaTheme="minorHAnsi"/>
          <w:lang w:eastAsia="en-US"/>
        </w:rPr>
        <w:t>волатильность</w:t>
      </w:r>
      <w:proofErr w:type="spellEnd"/>
      <w:r w:rsidRPr="006A047B">
        <w:rPr>
          <w:rFonts w:eastAsiaTheme="minorHAnsi"/>
          <w:lang w:eastAsia="en-US"/>
        </w:rPr>
        <w:t xml:space="preserve"> должна сохраниться. На следующей неделе инвесторам следует обратить внимание на следующие макроэкономические индикаторы по</w:t>
      </w:r>
      <w:r w:rsidR="006A047B">
        <w:rPr>
          <w:rFonts w:eastAsiaTheme="minorHAnsi"/>
          <w:lang w:eastAsia="en-US"/>
        </w:rPr>
        <w:t xml:space="preserve"> </w:t>
      </w:r>
      <w:r w:rsidRPr="006A047B">
        <w:rPr>
          <w:rFonts w:eastAsiaTheme="minorHAnsi"/>
          <w:lang w:eastAsia="en-US"/>
        </w:rPr>
        <w:t>Америке: заказы на товары длительного пользования, доверие потребителей и продажи новых домов – во вторник, ВВП – в среду, еженедельные заявки на пособие</w:t>
      </w:r>
      <w:r w:rsidR="006A047B">
        <w:rPr>
          <w:rFonts w:eastAsiaTheme="minorHAnsi"/>
          <w:lang w:eastAsia="en-US"/>
        </w:rPr>
        <w:t xml:space="preserve"> </w:t>
      </w:r>
      <w:r w:rsidRPr="006A047B">
        <w:rPr>
          <w:rFonts w:eastAsiaTheme="minorHAnsi"/>
          <w:lang w:eastAsia="en-US"/>
        </w:rPr>
        <w:t xml:space="preserve">по безработице и личные </w:t>
      </w:r>
      <w:proofErr w:type="gramStart"/>
      <w:r w:rsidRPr="006A047B">
        <w:rPr>
          <w:rFonts w:eastAsiaTheme="minorHAnsi"/>
          <w:lang w:eastAsia="en-US"/>
        </w:rPr>
        <w:t>доходы</w:t>
      </w:r>
      <w:proofErr w:type="gramEnd"/>
      <w:r w:rsidRPr="006A047B">
        <w:rPr>
          <w:rFonts w:eastAsiaTheme="minorHAnsi"/>
          <w:lang w:eastAsia="en-US"/>
        </w:rPr>
        <w:t xml:space="preserve"> и расходы граждан – в четверг. Из корпоративных новостей: отчет </w:t>
      </w:r>
      <w:r w:rsidR="006A047B" w:rsidRPr="006A047B">
        <w:rPr>
          <w:rFonts w:eastAsiaTheme="minorHAnsi"/>
          <w:lang w:eastAsia="en-US"/>
        </w:rPr>
        <w:t>«</w:t>
      </w:r>
      <w:proofErr w:type="spellStart"/>
      <w:r w:rsidRPr="006A047B">
        <w:rPr>
          <w:rFonts w:eastAsiaTheme="minorHAnsi"/>
          <w:lang w:eastAsia="en-US"/>
        </w:rPr>
        <w:t>РусГидро</w:t>
      </w:r>
      <w:proofErr w:type="spellEnd"/>
      <w:r w:rsidR="006A047B" w:rsidRPr="006A047B">
        <w:rPr>
          <w:rFonts w:eastAsiaTheme="minorHAnsi"/>
          <w:lang w:eastAsia="en-US"/>
        </w:rPr>
        <w:t>» по МСФО за 1 квартал.</w:t>
      </w:r>
    </w:p>
    <w:p w:rsidR="006A047B" w:rsidRPr="006A047B" w:rsidRDefault="006A047B" w:rsidP="0078495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E2C64" w:rsidRPr="006A047B" w:rsidRDefault="00784956" w:rsidP="006A047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047B">
        <w:rPr>
          <w:rFonts w:eastAsiaTheme="minorHAnsi"/>
          <w:b/>
          <w:bCs/>
          <w:lang w:eastAsia="en-US"/>
        </w:rPr>
        <w:t>Поддержка</w:t>
      </w:r>
      <w:r w:rsidRPr="006A047B">
        <w:rPr>
          <w:rFonts w:eastAsiaTheme="minorHAnsi"/>
          <w:lang w:eastAsia="en-US"/>
        </w:rPr>
        <w:t xml:space="preserve">: сохранение высоких цен на нефть – </w:t>
      </w:r>
      <w:proofErr w:type="spellStart"/>
      <w:r w:rsidRPr="006A047B">
        <w:rPr>
          <w:rFonts w:eastAsiaTheme="minorHAnsi"/>
          <w:lang w:eastAsia="en-US"/>
        </w:rPr>
        <w:t>Brent</w:t>
      </w:r>
      <w:proofErr w:type="spellEnd"/>
      <w:r w:rsidRPr="006A047B">
        <w:rPr>
          <w:rFonts w:eastAsiaTheme="minorHAnsi"/>
          <w:lang w:eastAsia="en-US"/>
        </w:rPr>
        <w:t xml:space="preserve"> имеет поддержку на уровне 100 долл./</w:t>
      </w:r>
      <w:proofErr w:type="spellStart"/>
      <w:r w:rsidRPr="006A047B">
        <w:rPr>
          <w:rFonts w:eastAsiaTheme="minorHAnsi"/>
          <w:lang w:eastAsia="en-US"/>
        </w:rPr>
        <w:t>барр</w:t>
      </w:r>
      <w:proofErr w:type="spellEnd"/>
      <w:r w:rsidRPr="006A047B">
        <w:rPr>
          <w:rFonts w:eastAsiaTheme="minorHAnsi"/>
          <w:lang w:eastAsia="en-US"/>
        </w:rPr>
        <w:t xml:space="preserve">. </w:t>
      </w:r>
      <w:r w:rsidRPr="006A047B">
        <w:rPr>
          <w:rFonts w:eastAsiaTheme="minorHAnsi"/>
          <w:b/>
          <w:bCs/>
          <w:lang w:eastAsia="en-US"/>
        </w:rPr>
        <w:t>Сопротивление</w:t>
      </w:r>
      <w:r w:rsidRPr="006A047B">
        <w:rPr>
          <w:rFonts w:eastAsiaTheme="minorHAnsi"/>
          <w:lang w:eastAsia="en-US"/>
        </w:rPr>
        <w:t xml:space="preserve">: (1) </w:t>
      </w:r>
      <w:proofErr w:type="gramStart"/>
      <w:r w:rsidRPr="006A047B">
        <w:rPr>
          <w:rFonts w:eastAsiaTheme="minorHAnsi"/>
          <w:lang w:eastAsia="en-US"/>
        </w:rPr>
        <w:t>высокая</w:t>
      </w:r>
      <w:proofErr w:type="gramEnd"/>
      <w:r w:rsidRPr="006A047B">
        <w:rPr>
          <w:rFonts w:eastAsiaTheme="minorHAnsi"/>
          <w:lang w:eastAsia="en-US"/>
        </w:rPr>
        <w:t xml:space="preserve"> </w:t>
      </w:r>
      <w:proofErr w:type="spellStart"/>
      <w:r w:rsidRPr="006A047B">
        <w:rPr>
          <w:rFonts w:eastAsiaTheme="minorHAnsi"/>
          <w:lang w:eastAsia="en-US"/>
        </w:rPr>
        <w:t>волатильность</w:t>
      </w:r>
      <w:proofErr w:type="spellEnd"/>
      <w:r w:rsidRPr="006A047B">
        <w:rPr>
          <w:rFonts w:eastAsiaTheme="minorHAnsi"/>
          <w:lang w:eastAsia="en-US"/>
        </w:rPr>
        <w:t xml:space="preserve"> на зарубежных рынках; (2) вероятно</w:t>
      </w:r>
      <w:r w:rsidR="006A047B" w:rsidRPr="006A047B">
        <w:rPr>
          <w:rFonts w:eastAsiaTheme="minorHAnsi"/>
          <w:lang w:eastAsia="en-US"/>
        </w:rPr>
        <w:t xml:space="preserve"> </w:t>
      </w:r>
      <w:r w:rsidRPr="006A047B">
        <w:rPr>
          <w:rFonts w:eastAsiaTheme="minorHAnsi"/>
          <w:lang w:eastAsia="en-US"/>
        </w:rPr>
        <w:t>продолжение оттока капитала из зарубежных фондов, ориентированных на вложения в российские активы; (3) продолжение замедления роста российской экономики.</w:t>
      </w:r>
    </w:p>
    <w:p w:rsidR="00784956" w:rsidRPr="006A047B" w:rsidRDefault="00784956" w:rsidP="00784956">
      <w:pPr>
        <w:rPr>
          <w:rFonts w:eastAsiaTheme="minorHAnsi"/>
          <w:lang w:eastAsia="en-US"/>
        </w:rPr>
      </w:pPr>
    </w:p>
    <w:p w:rsidR="00784956" w:rsidRPr="006A047B" w:rsidRDefault="00784956" w:rsidP="00784956">
      <w:pPr>
        <w:rPr>
          <w:rFonts w:eastAsiaTheme="minorHAnsi"/>
          <w:lang w:eastAsia="en-US"/>
        </w:rPr>
      </w:pPr>
    </w:p>
    <w:p w:rsidR="00784956" w:rsidRPr="006A047B" w:rsidRDefault="00784956" w:rsidP="00784956"/>
    <w:sectPr w:rsidR="00784956" w:rsidRPr="006A047B" w:rsidSect="00CB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4A0"/>
    <w:rsid w:val="00003239"/>
    <w:rsid w:val="00031E9A"/>
    <w:rsid w:val="001B34A0"/>
    <w:rsid w:val="00372A0D"/>
    <w:rsid w:val="006A047B"/>
    <w:rsid w:val="00784956"/>
    <w:rsid w:val="008B3F1E"/>
    <w:rsid w:val="009543B0"/>
    <w:rsid w:val="009E2C64"/>
    <w:rsid w:val="00B42FBA"/>
    <w:rsid w:val="00CB63D8"/>
    <w:rsid w:val="00DE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34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34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4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00323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003239"/>
    <w:rPr>
      <w:rFonts w:ascii="Consolas" w:hAnsi="Consolas"/>
      <w:sz w:val="21"/>
      <w:szCs w:val="21"/>
    </w:rPr>
  </w:style>
  <w:style w:type="paragraph" w:styleId="a8">
    <w:name w:val="Normal (Web)"/>
    <w:basedOn w:val="a"/>
    <w:uiPriority w:val="99"/>
    <w:unhideWhenUsed/>
    <w:rsid w:val="00031E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2013-06-24T05:09:00Z</dcterms:created>
  <dcterms:modified xsi:type="dcterms:W3CDTF">2013-06-24T07:04:00Z</dcterms:modified>
</cp:coreProperties>
</file>