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2F2F2" w:themeColor="background1" w:themeShade="F2"/>
  <w:body>
    <w:p w:rsidR="00D127A2" w:rsidRDefault="00D127A2" w:rsidP="00D127A2">
      <w:pPr>
        <w:rPr>
          <w:rFonts w:ascii="Arial" w:hAnsi="Arial" w:cs="Arial"/>
        </w:rPr>
      </w:pPr>
    </w:p>
    <w:p w:rsidR="00D127A2" w:rsidRDefault="00D127A2" w:rsidP="00D127A2"/>
    <w:tbl>
      <w:tblPr>
        <w:tblW w:w="1051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0530"/>
        <w:gridCol w:w="6"/>
      </w:tblGrid>
      <w:tr w:rsidR="00D127A2" w:rsidTr="00D127A2">
        <w:trPr>
          <w:tblCellSpacing w:w="0" w:type="dxa"/>
        </w:trPr>
        <w:tc>
          <w:tcPr>
            <w:tcW w:w="0" w:type="auto"/>
            <w:vAlign w:val="center"/>
            <w:hideMark/>
          </w:tcPr>
          <w:p w:rsidR="00D127A2" w:rsidRDefault="00D127A2"/>
        </w:tc>
        <w:tc>
          <w:tcPr>
            <w:tcW w:w="0" w:type="auto"/>
            <w:vAlign w:val="center"/>
            <w:hideMark/>
          </w:tcPr>
          <w:tbl>
            <w:tblPr>
              <w:tblW w:w="105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30"/>
            </w:tblGrid>
            <w:tr w:rsidR="00D127A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127A2" w:rsidRDefault="00D127A2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noProof/>
                      <w:color w:val="1F497D"/>
                      <w:sz w:val="26"/>
                      <w:szCs w:val="26"/>
                      <w:lang w:eastAsia="ru-RU"/>
                    </w:rPr>
                    <w:drawing>
                      <wp:inline distT="0" distB="0" distL="0" distR="0">
                        <wp:extent cx="6677025" cy="2447925"/>
                        <wp:effectExtent l="0" t="0" r="9525" b="9525"/>
                        <wp:docPr id="5" name="Рисунок 5" descr="cid:image001.jpg@01CE7F0D.5D5225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cid:image001.jpg@01CE7F0D.5D5225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77025" cy="2447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127A2">
              <w:trPr>
                <w:tblCellSpacing w:w="0" w:type="dxa"/>
              </w:trPr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9"/>
                    <w:gridCol w:w="10115"/>
                    <w:gridCol w:w="6"/>
                  </w:tblGrid>
                  <w:tr w:rsidR="00D127A2">
                    <w:trPr>
                      <w:trHeight w:val="150"/>
                      <w:tblCellSpacing w:w="0" w:type="dxa"/>
                    </w:trPr>
                    <w:tc>
                      <w:tcPr>
                        <w:tcW w:w="408" w:type="dxa"/>
                        <w:shd w:val="clear" w:color="auto" w:fill="FFFFFF"/>
                        <w:vAlign w:val="center"/>
                        <w:hideMark/>
                      </w:tcPr>
                      <w:p w:rsidR="00D127A2" w:rsidRDefault="00D127A2">
                        <w:bookmarkStart w:id="0" w:name="_GoBack"/>
                        <w:bookmarkEnd w:id="0"/>
                      </w:p>
                    </w:tc>
                    <w:tc>
                      <w:tcPr>
                        <w:tcW w:w="10101" w:type="dxa"/>
                        <w:shd w:val="clear" w:color="auto" w:fill="FFFFFF"/>
                        <w:vAlign w:val="center"/>
                        <w:hideMark/>
                      </w:tcPr>
                      <w:p w:rsidR="00D127A2" w:rsidRDefault="00D127A2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" w:type="dxa"/>
                        <w:shd w:val="clear" w:color="auto" w:fill="FFFFFF"/>
                        <w:vAlign w:val="center"/>
                        <w:hideMark/>
                      </w:tcPr>
                      <w:p w:rsidR="00D127A2" w:rsidRDefault="00D127A2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127A2">
                    <w:trPr>
                      <w:trHeight w:val="420"/>
                      <w:tblCellSpacing w:w="0" w:type="dxa"/>
                    </w:trPr>
                    <w:tc>
                      <w:tcPr>
                        <w:tcW w:w="408" w:type="dxa"/>
                        <w:vAlign w:val="center"/>
                        <w:hideMark/>
                      </w:tcPr>
                      <w:p w:rsidR="00D127A2" w:rsidRDefault="00D127A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10101" w:type="dxa"/>
                        <w:vAlign w:val="center"/>
                        <w:hideMark/>
                      </w:tcPr>
                      <w:p w:rsidR="00D127A2" w:rsidRDefault="00D127A2"/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D127A2" w:rsidRDefault="00D127A2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127A2">
                    <w:trPr>
                      <w:tblCellSpacing w:w="0" w:type="dxa"/>
                    </w:trPr>
                    <w:tc>
                      <w:tcPr>
                        <w:tcW w:w="408" w:type="dxa"/>
                        <w:vAlign w:val="center"/>
                        <w:hideMark/>
                      </w:tcPr>
                      <w:p w:rsidR="00D127A2" w:rsidRDefault="00D127A2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101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515"/>
                          <w:gridCol w:w="600"/>
                        </w:tblGrid>
                        <w:tr w:rsidR="00D127A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127A2" w:rsidRDefault="00D127A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1F497D"/>
                                  <w:sz w:val="26"/>
                                  <w:szCs w:val="26"/>
                                </w:rPr>
                                <w:t> 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t>Рынок акций</w:t>
                              </w:r>
                            </w:p>
                            <w:p w:rsidR="00D127A2" w:rsidRDefault="00D127A2"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 </w:t>
                              </w:r>
                            </w:p>
                            <w:p w:rsidR="00D127A2" w:rsidRDefault="00D127A2">
                              <w:pPr>
                                <w:spacing w:after="240"/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sz w:val="26"/>
                                  <w:szCs w:val="26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1190625" cy="1190625"/>
                                    <wp:effectExtent l="0" t="0" r="9525" b="9525"/>
                                    <wp:docPr id="4" name="Рисунок 4" descr="cid:image002.jpg@01CE7D8D.1A6B3F6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6" descr="cid:image002.jpg@01CE7D8D.1A6B3F6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 r:link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90625" cy="11906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27A2" w:rsidRDefault="00D127A2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t>Владимир Брагин,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26"/>
                                  <w:szCs w:val="26"/>
                                </w:rPr>
                                <w:t>директор по анализу финансовых рынков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26"/>
                                  <w:szCs w:val="26"/>
                                </w:rPr>
                                <w:br/>
                                <w:t>и макроэкономики УК «Альфа-Капитал»</w:t>
                              </w:r>
                            </w:p>
                            <w:p w:rsidR="00D127A2" w:rsidRDefault="00D127A2">
                              <w:pPr>
                                <w:pStyle w:val="a30"/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Понижение суверенного рейтинга России от Moody’s до уровня ниже инвестиционного спровоцировало сегодня распродажу в российских активах. На акциях это отразилось не так сильно, индекс ММВБ снижается лишь на 1,7%. При этом для некоторых компаний, тех же экспортеров, понижение рейтинга может быть воспринято с осторожным оптимизмом: обслуживать валютные обязательства они могут за счет части экспортных доходов, но при этом нести основные издержки в рублях.</w:t>
                              </w:r>
                            </w:p>
                            <w:p w:rsidR="00D127A2" w:rsidRDefault="00D127A2">
                              <w:pPr>
                                <w:pStyle w:val="a30"/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В краткосрочной перспективе рынок продолжит торговлю по новостным заголовкам, и, как следствие, волатильность останется высокой. В ближайшие дни будут проходить встречи глав МИД стран «нормандской четверки», и ее результаты могут определить дальнейшее направление рынка. Если тренд на деэскалацию сохранится, текущая коррекция не будет продолжительной и может рассматриваться как хороший момент для покупок. </w:t>
                              </w:r>
                            </w:p>
                            <w:p w:rsidR="00D127A2" w:rsidRDefault="00D127A2">
                              <w:pPr>
                                <w:pStyle w:val="a30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Наши фонды по-прежнему имеют высокую долю российских ценных бумаг в своей структуре, но преимущественно это остаются акции компаний-экспортеров либо наиболее защищенные от ухудшения экономической конъюнктуры внутренние истории. К тому же ощутимую долю портфелей составляет «подушка безопасности», позиции в акциях крупных зарубежных компаний. </w:t>
                              </w:r>
                            </w:p>
                            <w:p w:rsidR="00D127A2" w:rsidRDefault="00D127A2">
                              <w:pPr>
                                <w:jc w:val="both"/>
                              </w:pPr>
                              <w:r>
                                <w:rPr>
                                  <w:rFonts w:ascii="Arial" w:hAnsi="Arial" w:cs="Arial"/>
                                  <w:color w:val="1F497D"/>
                                </w:rPr>
                                <w:lastRenderedPageBreak/>
                                <w:t> </w:t>
                              </w:r>
                            </w:p>
                            <w:p w:rsidR="00D127A2" w:rsidRDefault="00D127A2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1F497D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F497D"/>
                                  <w:sz w:val="26"/>
                                  <w:szCs w:val="26"/>
                                </w:rPr>
                                <w:t> </w:t>
                              </w:r>
                            </w:p>
                            <w:p w:rsidR="00D127A2" w:rsidRDefault="00D127A2"/>
                            <w:p w:rsidR="00D127A2" w:rsidRDefault="00D127A2"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color w:val="1F497D"/>
                                </w:rPr>
                                <w:t> </w:t>
                              </w:r>
                            </w:p>
                            <w:p w:rsidR="00D127A2" w:rsidRDefault="00D127A2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t>Рынок облигаций</w:t>
                              </w:r>
                            </w:p>
                            <w:p w:rsidR="00D127A2" w:rsidRDefault="00D127A2">
                              <w:pPr>
                                <w:spacing w:after="240"/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sz w:val="26"/>
                                  <w:szCs w:val="26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1190625" cy="1190625"/>
                                    <wp:effectExtent l="0" t="0" r="9525" b="9525"/>
                                    <wp:docPr id="3" name="Рисунок 3" descr="cid:image004.jpg@01CE7BFE.B94C546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3" descr="cid:image004.jpg@01CE7BFE.B94C546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 r:link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90625" cy="11906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27A2" w:rsidRDefault="00D127A2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t>Алексей Губин, 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26"/>
                                  <w:szCs w:val="26"/>
                                </w:rPr>
                                <w:t>аналитик УК «Альфа-Капитал»</w:t>
                              </w:r>
                            </w:p>
                            <w:p w:rsidR="00D127A2" w:rsidRDefault="00D127A2">
                              <w:pPr>
                                <w:pStyle w:val="a30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  <w:p w:rsidR="00D127A2" w:rsidRDefault="00D127A2">
                              <w:pPr>
                                <w:pStyle w:val="a30"/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Пятничное решение 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en-US"/>
                                </w:rPr>
                                <w:t>Moody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’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en-US"/>
                                </w:rPr>
                                <w:t>s</w:t>
                              </w:r>
                              <w:r w:rsidRPr="00D127A2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снизить суверенный рейтинг РФ до уровня Ва1 (на 1 ступень ниже инвестиционного уровня) привело к распродаже долговых инструментов, прервав ралли, продолжавшееся с начала февраля. Суверенному бенчмарку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  <w:lang w:val="en-US"/>
                                </w:rPr>
                                <w:t>Russia</w:t>
                              </w:r>
                              <w:r w:rsidRPr="00D127A2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30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распродажа обошлась потерей 1 п.п. цены по отношению к пятничному закрытию. В корпоративном сегменте кривая доходности сдвинулась вверх примерно на 40–50 бп. </w:t>
                              </w:r>
                            </w:p>
                            <w:p w:rsidR="00D127A2" w:rsidRDefault="00D127A2">
                              <w:pPr>
                                <w:pStyle w:val="a30"/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Стоит отметить, что, несмотря на коррекцию, реакция рынка на новость о снижении рейтинга более чем сдержанная. Паники по поводу «риска массированных принудительных продаж» пока не наблюдается. По всей видимости, экстремальная волатильность последних месяцев попросту вытряхнула с рынка игроков, неспособных терпеть высокие риски, поэтому потенциал «пожарных продаж» сейчас несравнимо меньше, чем это было в декабре. </w:t>
                              </w:r>
                            </w:p>
                            <w:p w:rsidR="00D127A2" w:rsidRDefault="00D127A2">
                              <w:pPr>
                                <w:pStyle w:val="a30"/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В рублевом сегменте ситуация похожая. Доходность рублевого бенчмарка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ОФЗ 26207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выросла примерно на 50 бп. Что касается самого рубля, то его ослабление укладывается в ожидаемую реакцию на снижение цен на нефть, поэтому само по себе снижение рейтинга 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en-US"/>
                                </w:rPr>
                                <w:t>Moody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’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en-US"/>
                                </w:rPr>
                                <w:t>s</w:t>
                              </w:r>
                              <w:r w:rsidRPr="00D127A2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оказало эффект на курс рубля близко к нейтральному.</w:t>
                              </w:r>
                            </w:p>
                            <w:p w:rsidR="00D127A2" w:rsidRDefault="00D127A2">
                              <w:pPr>
                                <w:pStyle w:val="a30"/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Хотя в текущей ситуации рынок облигаций может продолжить проседать, негатива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вряд ли хватит надолго. Соотношение кредитного рейтинга и текущих доходностей говорит о том, что снижение рейтинга (причем не только этого, а еще и пары в будущем) уже заложены в ценах. Как следствие, лучше присматриваться к рынку и искать возможности для покупки. </w:t>
                              </w:r>
                            </w:p>
                            <w:p w:rsidR="00D127A2" w:rsidRDefault="00D127A2">
                              <w:pPr>
                                <w:pStyle w:val="a30"/>
                                <w:rPr>
                                  <w:rFonts w:ascii="Calibri" w:hAnsi="Calibri"/>
                                  <w:color w:val="1F497D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1F497D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  <w:p w:rsidR="00D127A2" w:rsidRDefault="00D127A2">
                              <w:pPr>
                                <w:pStyle w:val="a30"/>
                                <w:rPr>
                                  <w:rFonts w:ascii="Calibri" w:hAnsi="Calibri"/>
                                  <w:color w:val="1F497D"/>
                                  <w:sz w:val="22"/>
                                  <w:szCs w:val="22"/>
                                </w:rPr>
                              </w:pPr>
                            </w:p>
                            <w:p w:rsidR="00D127A2" w:rsidRDefault="00D127A2">
                              <w:pPr>
                                <w:pStyle w:val="a30"/>
                                <w:rPr>
                                  <w:rFonts w:ascii="Calibri" w:hAnsi="Calibri"/>
                                  <w:color w:val="1F497D"/>
                                  <w:sz w:val="22"/>
                                  <w:szCs w:val="22"/>
                                </w:rPr>
                              </w:pPr>
                            </w:p>
                            <w:p w:rsidR="00D127A2" w:rsidRDefault="00D127A2">
                              <w:pPr>
                                <w:pStyle w:val="a30"/>
                                <w:rPr>
                                  <w:rFonts w:ascii="Calibri" w:hAnsi="Calibri"/>
                                  <w:color w:val="1F497D"/>
                                  <w:sz w:val="22"/>
                                  <w:szCs w:val="22"/>
                                </w:rPr>
                              </w:pPr>
                            </w:p>
                            <w:p w:rsidR="00D127A2" w:rsidRDefault="00D127A2">
                              <w:pPr>
                                <w:pStyle w:val="a30"/>
                                <w:rPr>
                                  <w:rFonts w:ascii="Calibri" w:hAnsi="Calibri"/>
                                  <w:color w:val="1F497D"/>
                                  <w:sz w:val="22"/>
                                  <w:szCs w:val="22"/>
                                </w:rPr>
                              </w:pPr>
                            </w:p>
                            <w:p w:rsidR="00D127A2" w:rsidRDefault="00D127A2">
                              <w:pPr>
                                <w:pStyle w:val="a30"/>
                                <w:rPr>
                                  <w:rFonts w:ascii="Calibri" w:hAnsi="Calibri"/>
                                  <w:color w:val="1F497D"/>
                                  <w:sz w:val="22"/>
                                  <w:szCs w:val="22"/>
                                </w:rPr>
                              </w:pPr>
                            </w:p>
                            <w:p w:rsidR="00D127A2" w:rsidRDefault="00D127A2">
                              <w:pPr>
                                <w:pStyle w:val="a30"/>
                                <w:rPr>
                                  <w:rFonts w:ascii="Calibri" w:hAnsi="Calibri"/>
                                  <w:color w:val="1F497D"/>
                                  <w:sz w:val="22"/>
                                  <w:szCs w:val="22"/>
                                </w:rPr>
                              </w:pPr>
                            </w:p>
                            <w:p w:rsidR="00D127A2" w:rsidRDefault="00D127A2">
                              <w:pPr>
                                <w:pStyle w:val="a30"/>
                                <w:rPr>
                                  <w:rFonts w:ascii="Calibri" w:hAnsi="Calibri"/>
                                  <w:color w:val="1F497D"/>
                                  <w:sz w:val="22"/>
                                  <w:szCs w:val="22"/>
                                </w:rPr>
                              </w:pPr>
                            </w:p>
                            <w:p w:rsidR="00D127A2" w:rsidRDefault="00D127A2">
                              <w:pPr>
                                <w:pStyle w:val="a30"/>
                                <w:rPr>
                                  <w:rFonts w:ascii="Calibri" w:hAnsi="Calibri"/>
                                  <w:color w:val="1F497D"/>
                                  <w:sz w:val="22"/>
                                  <w:szCs w:val="22"/>
                                </w:rPr>
                              </w:pPr>
                            </w:p>
                            <w:p w:rsidR="00D127A2" w:rsidRDefault="00D127A2">
                              <w:pPr>
                                <w:pStyle w:val="a30"/>
                                <w:rPr>
                                  <w:rFonts w:ascii="Calibri" w:hAnsi="Calibri"/>
                                  <w:color w:val="1F497D"/>
                                  <w:sz w:val="22"/>
                                  <w:szCs w:val="22"/>
                                </w:rPr>
                              </w:pPr>
                            </w:p>
                            <w:p w:rsidR="00D127A2" w:rsidRDefault="00D127A2">
                              <w:pPr>
                                <w:pStyle w:val="a30"/>
                                <w:rPr>
                                  <w:rFonts w:ascii="Calibri" w:hAnsi="Calibri"/>
                                  <w:color w:val="1F497D"/>
                                  <w:sz w:val="22"/>
                                  <w:szCs w:val="22"/>
                                </w:rPr>
                              </w:pPr>
                            </w:p>
                            <w:p w:rsidR="00D127A2" w:rsidRDefault="00D127A2">
                              <w:pPr>
                                <w:pStyle w:val="a30"/>
                                <w:rPr>
                                  <w:rFonts w:ascii="Calibri" w:hAnsi="Calibri"/>
                                  <w:color w:val="1F497D"/>
                                  <w:sz w:val="22"/>
                                  <w:szCs w:val="22"/>
                                </w:rPr>
                              </w:pPr>
                            </w:p>
                            <w:p w:rsidR="00D127A2" w:rsidRDefault="00D127A2">
                              <w:pPr>
                                <w:pStyle w:val="a30"/>
                                <w:rPr>
                                  <w:rFonts w:ascii="Calibri" w:hAnsi="Calibri"/>
                                  <w:color w:val="1F497D"/>
                                  <w:sz w:val="22"/>
                                  <w:szCs w:val="22"/>
                                </w:rPr>
                              </w:pPr>
                            </w:p>
                            <w:p w:rsidR="00D127A2" w:rsidRDefault="00D127A2">
                              <w:pPr>
                                <w:pStyle w:val="a30"/>
                              </w:pPr>
                            </w:p>
                            <w:p w:rsidR="00D127A2" w:rsidRDefault="00D127A2">
                              <w:pPr>
                                <w:pStyle w:val="a30"/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  <w:p w:rsidR="00D127A2" w:rsidRDefault="00D127A2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t>Рынок сырьевых товаров</w:t>
                              </w:r>
                            </w:p>
                            <w:p w:rsidR="00D127A2" w:rsidRDefault="00D127A2">
                              <w:pPr>
                                <w:spacing w:after="240"/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sz w:val="26"/>
                                  <w:szCs w:val="26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1123950" cy="1123950"/>
                                    <wp:effectExtent l="0" t="0" r="0" b="0"/>
                                    <wp:docPr id="2" name="Рисунок 2" descr="cid:image002.jpg@01CE7D8D.1A6B3F6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4" descr="cid:image002.jpg@01CE7D8D.1A6B3F6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 r:link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23950" cy="11239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27A2" w:rsidRDefault="00D127A2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F497D"/>
                                  <w:sz w:val="26"/>
                                  <w:szCs w:val="26"/>
                                </w:rPr>
                                <w:t> </w:t>
                              </w:r>
                            </w:p>
                            <w:p w:rsidR="00D127A2" w:rsidRDefault="00D127A2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t>Владимир Брагин,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26"/>
                                  <w:szCs w:val="26"/>
                                </w:rPr>
                                <w:t>директор по анализу финансовых рынков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26"/>
                                  <w:szCs w:val="26"/>
                                </w:rPr>
                                <w:br/>
                                <w:t>и макроэкономики УК «Альфа-Капитал»</w:t>
                              </w:r>
                            </w:p>
                            <w:p w:rsidR="00D127A2" w:rsidRDefault="00D127A2">
                              <w:pPr>
                                <w:pStyle w:val="a30"/>
                                <w:spacing w:after="120"/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Нефть продолжает снижаться на росте запасов нефти США, что приводит к росту спреда между нефтью 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en-US"/>
                                </w:rPr>
                                <w:t>WTI</w:t>
                              </w:r>
                              <w:r w:rsidRPr="00D127A2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и 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en-US"/>
                                </w:rPr>
                                <w:t>Brent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, подчеркивая, что рост 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en-US"/>
                                </w:rPr>
                                <w:t>Brent</w:t>
                              </w:r>
                              <w:r w:rsidRPr="00D127A2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в последний месяц не стоит воспринимать пока как сигнал разворота на рынке. Все-таки проблемы на Ближнем Востоке, вызвавшие рост котировок 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en-US"/>
                                </w:rPr>
                                <w:t>Brent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, не решают фундаментальной проблемы перепроизводства нефти, из-за которой и произошел обвал. Тот факт, что мы видим снижение числа буровых, еще не гарантирует достаточного снижения добычи нефти в обозримой перспективе.</w:t>
                              </w:r>
                            </w:p>
                            <w:p w:rsidR="00D127A2" w:rsidRDefault="00D127A2">
                              <w:pPr>
                                <w:pStyle w:val="a50"/>
                                <w:spacing w:after="120"/>
                                <w:jc w:val="both"/>
                              </w:pPr>
                              <w:r>
                                <w:rPr>
                                  <w:b w:val="0"/>
                                  <w:bCs w:val="0"/>
                                  <w:color w:val="auto"/>
                                  <w:sz w:val="22"/>
                                  <w:szCs w:val="22"/>
                                </w:rPr>
                                <w:t>Цена золота снизилась, пробив отметку 1200 долл. за унцию. Триггером, как ни странно, мог стать комментарий от ФРС США, согласно которому повышению ставки мешает сильное укрепление доллара, а также отсутствие предпосылок к стабилизации рынка недвижимости. Такое заявление делает рынок акций более привлекательным по сравнению с защитными активами.</w:t>
                              </w:r>
                            </w:p>
                            <w:p w:rsidR="00D127A2" w:rsidRDefault="00D127A2">
                              <w:pPr>
                                <w:pStyle w:val="a50"/>
                                <w:spacing w:after="120"/>
                                <w:jc w:val="both"/>
                              </w:pPr>
                              <w:r>
                                <w:rPr>
                                  <w:b w:val="0"/>
                                  <w:bCs w:val="0"/>
                                  <w:color w:val="auto"/>
                                  <w:sz w:val="22"/>
                                  <w:szCs w:val="22"/>
                                </w:rPr>
                                <w:t>Другим негативным для золота событием была договоренность ЕС и Греции о продлении финансовой помощи на четыре месяца, что также снизило спрос на защитные активы.</w:t>
                              </w:r>
                            </w:p>
                            <w:p w:rsidR="00D127A2" w:rsidRDefault="00D127A2" w:rsidP="00D127A2">
                              <w:pPr>
                                <w:pStyle w:val="a30"/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600" w:type="dxa"/>
                              <w:vAlign w:val="center"/>
                              <w:hideMark/>
                            </w:tcPr>
                            <w:p w:rsidR="00D127A2" w:rsidRDefault="00D127A2"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lastRenderedPageBreak/>
                                <w:t> </w:t>
                              </w:r>
                            </w:p>
                          </w:tc>
                        </w:tr>
                      </w:tbl>
                      <w:p w:rsidR="00D127A2" w:rsidRDefault="00D127A2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D127A2" w:rsidRDefault="00D127A2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D127A2" w:rsidRDefault="00D127A2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noProof/>
                      <w:sz w:val="26"/>
                      <w:szCs w:val="26"/>
                      <w:lang w:eastAsia="ru-RU"/>
                    </w:rPr>
                    <w:lastRenderedPageBreak/>
                    <w:drawing>
                      <wp:inline distT="0" distB="0" distL="0" distR="0">
                        <wp:extent cx="6667500" cy="762000"/>
                        <wp:effectExtent l="0" t="0" r="0" b="0"/>
                        <wp:docPr id="1" name="Рисунок 1" descr="cid:image004.gif@01CF1B7C.B25E1A8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5" descr="cid:image004.gif@01CF1B7C.B25E1A8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r:link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0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127A2">
              <w:trPr>
                <w:trHeight w:val="15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127A2" w:rsidRDefault="00D127A2"/>
              </w:tc>
            </w:tr>
            <w:tr w:rsidR="00D127A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127A2" w:rsidRDefault="00D127A2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D127A2">
              <w:trPr>
                <w:trHeight w:val="15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127A2" w:rsidRDefault="00D127A2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D127A2" w:rsidRDefault="00D127A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127A2" w:rsidRDefault="00D127A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D05F5F" w:rsidRPr="00DA68EA" w:rsidRDefault="00D05F5F" w:rsidP="00D127A2">
      <w:pPr>
        <w:spacing w:before="240" w:line="276" w:lineRule="auto"/>
        <w:jc w:val="both"/>
        <w:rPr>
          <w:rFonts w:ascii="Arial" w:hAnsi="Arial" w:cs="Arial"/>
          <w:sz w:val="23"/>
          <w:szCs w:val="23"/>
        </w:rPr>
      </w:pPr>
    </w:p>
    <w:sectPr w:rsidR="00D05F5F" w:rsidRPr="00DA68EA" w:rsidSect="00D127A2">
      <w:footerReference w:type="default" r:id="rId16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0E9" w:rsidRDefault="00BB10E9" w:rsidP="00EF2DCA">
      <w:pPr>
        <w:spacing w:after="0" w:line="240" w:lineRule="auto"/>
      </w:pPr>
      <w:r>
        <w:separator/>
      </w:r>
    </w:p>
  </w:endnote>
  <w:endnote w:type="continuationSeparator" w:id="0">
    <w:p w:rsidR="00BB10E9" w:rsidRDefault="00BB10E9" w:rsidP="00EF2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5054574"/>
      <w:docPartObj>
        <w:docPartGallery w:val="Page Numbers (Bottom of Page)"/>
        <w:docPartUnique/>
      </w:docPartObj>
    </w:sdtPr>
    <w:sdtContent>
      <w:p w:rsidR="00D127A2" w:rsidRDefault="00D127A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127A2" w:rsidRDefault="00D127A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0E9" w:rsidRDefault="00BB10E9" w:rsidP="00EF2DCA">
      <w:pPr>
        <w:spacing w:after="0" w:line="240" w:lineRule="auto"/>
      </w:pPr>
      <w:r>
        <w:separator/>
      </w:r>
    </w:p>
  </w:footnote>
  <w:footnote w:type="continuationSeparator" w:id="0">
    <w:p w:rsidR="00BB10E9" w:rsidRDefault="00BB10E9" w:rsidP="00EF2D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8EA"/>
    <w:rsid w:val="0015332A"/>
    <w:rsid w:val="001C7DE2"/>
    <w:rsid w:val="003737FA"/>
    <w:rsid w:val="003C56FA"/>
    <w:rsid w:val="004E42EF"/>
    <w:rsid w:val="007C020D"/>
    <w:rsid w:val="007F55E6"/>
    <w:rsid w:val="00AD7685"/>
    <w:rsid w:val="00BB10E9"/>
    <w:rsid w:val="00D05F5F"/>
    <w:rsid w:val="00D127A2"/>
    <w:rsid w:val="00D13308"/>
    <w:rsid w:val="00DA68EA"/>
    <w:rsid w:val="00E1044E"/>
    <w:rsid w:val="00E12C62"/>
    <w:rsid w:val="00EF2DCA"/>
    <w:rsid w:val="00FB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884F8F-2ECC-4851-AD30-ED62079D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2DCA"/>
  </w:style>
  <w:style w:type="paragraph" w:styleId="a5">
    <w:name w:val="footer"/>
    <w:basedOn w:val="a"/>
    <w:link w:val="a6"/>
    <w:uiPriority w:val="99"/>
    <w:unhideWhenUsed/>
    <w:rsid w:val="00EF2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2DCA"/>
  </w:style>
  <w:style w:type="paragraph" w:styleId="a7">
    <w:name w:val="Plain Text"/>
    <w:basedOn w:val="a"/>
    <w:link w:val="a8"/>
    <w:uiPriority w:val="99"/>
    <w:semiHidden/>
    <w:unhideWhenUsed/>
    <w:rsid w:val="00EF2DCA"/>
    <w:pPr>
      <w:spacing w:after="0" w:line="240" w:lineRule="auto"/>
    </w:pPr>
    <w:rPr>
      <w:rFonts w:ascii="Calibri" w:hAnsi="Calibri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EF2DCA"/>
    <w:rPr>
      <w:rFonts w:ascii="Calibri" w:hAnsi="Calibri"/>
      <w:szCs w:val="21"/>
    </w:rPr>
  </w:style>
  <w:style w:type="character" w:styleId="a9">
    <w:name w:val="Hyperlink"/>
    <w:basedOn w:val="a0"/>
    <w:uiPriority w:val="99"/>
    <w:semiHidden/>
    <w:unhideWhenUsed/>
    <w:rsid w:val="00D127A2"/>
    <w:rPr>
      <w:color w:val="0000FF"/>
      <w:u w:val="single"/>
    </w:rPr>
  </w:style>
  <w:style w:type="paragraph" w:customStyle="1" w:styleId="a30">
    <w:name w:val="a3"/>
    <w:basedOn w:val="a"/>
    <w:rsid w:val="00D127A2"/>
    <w:pPr>
      <w:spacing w:before="80" w:after="0" w:line="240" w:lineRule="auto"/>
      <w:jc w:val="both"/>
    </w:pPr>
    <w:rPr>
      <w:rFonts w:ascii="Arial Narrow" w:hAnsi="Arial Narrow" w:cs="Times New Roman"/>
      <w:sz w:val="16"/>
      <w:szCs w:val="16"/>
      <w:lang w:eastAsia="ru-RU"/>
    </w:rPr>
  </w:style>
  <w:style w:type="paragraph" w:customStyle="1" w:styleId="a50">
    <w:name w:val="a5"/>
    <w:basedOn w:val="a"/>
    <w:rsid w:val="00D127A2"/>
    <w:pPr>
      <w:spacing w:after="0" w:line="240" w:lineRule="auto"/>
    </w:pPr>
    <w:rPr>
      <w:rFonts w:ascii="Arial" w:hAnsi="Arial" w:cs="Arial"/>
      <w:b/>
      <w:bCs/>
      <w:color w:val="FF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3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cid:image004.jpg@01D05057.4852B0E0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cid:image001.jpg@01D05057.4852B0E0" TargetMode="Externa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cid:image003.jpg@01D05057.4852B0E0" TargetMode="External"/><Relationship Id="rId5" Type="http://schemas.openxmlformats.org/officeDocument/2006/relationships/endnotes" Target="endnotes.xml"/><Relationship Id="rId15" Type="http://schemas.openxmlformats.org/officeDocument/2006/relationships/image" Target="cid:image005.gif@01D05057.4852B0E0" TargetMode="Externa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cid:image002.jpg@01D05057.4852B0E0" TargetMode="External"/><Relationship Id="rId14" Type="http://schemas.openxmlformats.org/officeDocument/2006/relationships/image" Target="media/image5.gif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7.jpeg"/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Натуральные материалы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Натуральные материалы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Натуральные материалы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Финам</Company>
  <LinksUpToDate>false</LinksUpToDate>
  <CharactersWithSpaces>4028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akolesnikova</dc:creator>
  <cp:keywords/>
  <dc:description/>
  <cp:lastModifiedBy>akolesnikova</cp:lastModifiedBy>
  <cp:revision>2</cp:revision>
  <dcterms:created xsi:type="dcterms:W3CDTF">2015-02-24T16:01:00Z</dcterms:created>
  <dcterms:modified xsi:type="dcterms:W3CDTF">2015-02-24T16:01:00Z</dcterms:modified>
</cp:coreProperties>
</file>