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B8" w:rsidRPr="000C3BB8" w:rsidRDefault="000C3BB8" w:rsidP="000C3BB8">
      <w:pPr>
        <w:jc w:val="both"/>
        <w:rPr>
          <w:rFonts w:asciiTheme="minorHAnsi" w:hAnsiTheme="minorHAnsi" w:cs="Arial"/>
          <w:b/>
        </w:rPr>
      </w:pPr>
      <w:r w:rsidRPr="000C3BB8">
        <w:rPr>
          <w:rFonts w:asciiTheme="minorHAnsi" w:hAnsiTheme="minorHAnsi" w:cs="Arial"/>
          <w:b/>
        </w:rPr>
        <w:t>Риски дефолта Греции могут способствовать коррекционному снижению рынков в начале недели</w:t>
      </w:r>
    </w:p>
    <w:p w:rsidR="000C3BB8" w:rsidRPr="000C3BB8" w:rsidRDefault="000C3BB8" w:rsidP="0051356E">
      <w:pPr>
        <w:jc w:val="both"/>
        <w:rPr>
          <w:rFonts w:asciiTheme="minorHAnsi" w:hAnsiTheme="minorHAnsi" w:cs="Arial"/>
        </w:rPr>
      </w:pPr>
    </w:p>
    <w:p w:rsidR="000C3BB8" w:rsidRPr="000C3BB8" w:rsidRDefault="000C3BB8" w:rsidP="0051356E">
      <w:pPr>
        <w:jc w:val="both"/>
        <w:rPr>
          <w:rFonts w:asciiTheme="minorHAnsi" w:hAnsiTheme="minorHAnsi" w:cs="Arial"/>
        </w:rPr>
      </w:pPr>
    </w:p>
    <w:p w:rsidR="0051356E" w:rsidRPr="000C3BB8" w:rsidRDefault="0051356E" w:rsidP="0051356E">
      <w:pPr>
        <w:jc w:val="both"/>
        <w:rPr>
          <w:rFonts w:asciiTheme="minorHAnsi" w:hAnsiTheme="minorHAnsi" w:cs="Arial"/>
        </w:rPr>
      </w:pPr>
      <w:r w:rsidRPr="000C3BB8">
        <w:rPr>
          <w:rFonts w:asciiTheme="minorHAnsi" w:hAnsiTheme="minorHAnsi" w:cs="Arial"/>
        </w:rPr>
        <w:t xml:space="preserve">Рынки весьма спокойно восприняли на прошлой неделе известие о снижении S&amp;P рейтингов более половины европейских стран, и продолжили рост. Российские фондовые индексы штурмовали уровень в 1500 пунктов, но пока не сумели закрепиться выше. По итогам недели индекс ММВБ прибавил 1,9%, индекс РТС – 3,4%. Приток средств глобальных фондов в российские акции продолжился вторую неделю подряд, но сократился до $13 </w:t>
      </w:r>
      <w:proofErr w:type="spellStart"/>
      <w:proofErr w:type="gramStart"/>
      <w:r w:rsidRPr="000C3BB8">
        <w:rPr>
          <w:rFonts w:asciiTheme="minorHAnsi" w:hAnsiTheme="minorHAnsi" w:cs="Arial"/>
        </w:rPr>
        <w:t>млн</w:t>
      </w:r>
      <w:proofErr w:type="spellEnd"/>
      <w:proofErr w:type="gramEnd"/>
      <w:r w:rsidRPr="000C3BB8">
        <w:rPr>
          <w:rFonts w:asciiTheme="minorHAnsi" w:hAnsiTheme="minorHAnsi" w:cs="Arial"/>
        </w:rPr>
        <w:t xml:space="preserve"> против $43 </w:t>
      </w:r>
      <w:proofErr w:type="spellStart"/>
      <w:r w:rsidRPr="000C3BB8">
        <w:rPr>
          <w:rFonts w:asciiTheme="minorHAnsi" w:hAnsiTheme="minorHAnsi" w:cs="Arial"/>
        </w:rPr>
        <w:t>млн</w:t>
      </w:r>
      <w:proofErr w:type="spellEnd"/>
      <w:r w:rsidRPr="000C3BB8">
        <w:rPr>
          <w:rFonts w:asciiTheme="minorHAnsi" w:hAnsiTheme="minorHAnsi" w:cs="Arial"/>
        </w:rPr>
        <w:t xml:space="preserve"> неделей ранее. Спрос на рисковые активы постепенно продолжает восстанавливаться, на что указывают успешные итоги аукционов по размещению </w:t>
      </w:r>
      <w:proofErr w:type="spellStart"/>
      <w:r w:rsidRPr="000C3BB8">
        <w:rPr>
          <w:rFonts w:asciiTheme="minorHAnsi" w:hAnsiTheme="minorHAnsi" w:cs="Arial"/>
        </w:rPr>
        <w:t>гособлигаций</w:t>
      </w:r>
      <w:proofErr w:type="spellEnd"/>
      <w:r w:rsidRPr="000C3BB8">
        <w:rPr>
          <w:rFonts w:asciiTheme="minorHAnsi" w:hAnsiTheme="minorHAnsi" w:cs="Arial"/>
        </w:rPr>
        <w:t xml:space="preserve"> Греции, Испании, Франции и EFSF, а также укрепление евро на 2%, почти до 1,3 EUR/USD. Этому способствовали переговоры Греции с кредиторами, в ходе которых на прошлой неделе звучали обнадеживающие заявления, неплохие экономические отчеты из США, надежды на смягчение денежно-кредитной политики Китая в ответ на замедление роста ВВП до уровня ниже 9% впервые с середины 2009г.  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</w:r>
      <w:proofErr w:type="gramStart"/>
      <w:r w:rsidRPr="000C3BB8">
        <w:rPr>
          <w:rFonts w:asciiTheme="minorHAnsi" w:hAnsiTheme="minorHAnsi" w:cs="Arial"/>
        </w:rPr>
        <w:t>Американская статистика показала сокращение еженедельных обращений безработных до минимума с апреля 2008 г., рост продаж вторичного жилья до максимума за последние 12 мес. Начало сезона корпоративной отчетности также проходит в целом лучше ожиданий рынка, особенно для технологических компаний и ряда крупнейших банков (</w:t>
      </w:r>
      <w:proofErr w:type="spellStart"/>
      <w:r w:rsidRPr="000C3BB8">
        <w:rPr>
          <w:rFonts w:asciiTheme="minorHAnsi" w:hAnsiTheme="minorHAnsi" w:cs="Arial"/>
        </w:rPr>
        <w:t>BofA</w:t>
      </w:r>
      <w:proofErr w:type="spellEnd"/>
      <w:r w:rsidRPr="000C3BB8">
        <w:rPr>
          <w:rFonts w:asciiTheme="minorHAnsi" w:hAnsiTheme="minorHAnsi" w:cs="Arial"/>
        </w:rPr>
        <w:t xml:space="preserve">, </w:t>
      </w:r>
      <w:proofErr w:type="spellStart"/>
      <w:r w:rsidRPr="000C3BB8">
        <w:rPr>
          <w:rFonts w:asciiTheme="minorHAnsi" w:hAnsiTheme="minorHAnsi" w:cs="Arial"/>
        </w:rPr>
        <w:t>Goldman</w:t>
      </w:r>
      <w:proofErr w:type="spellEnd"/>
      <w:r w:rsidRPr="000C3BB8">
        <w:rPr>
          <w:rFonts w:asciiTheme="minorHAnsi" w:hAnsiTheme="minorHAnsi" w:cs="Arial"/>
        </w:rPr>
        <w:t xml:space="preserve"> </w:t>
      </w:r>
      <w:proofErr w:type="spellStart"/>
      <w:r w:rsidRPr="000C3BB8">
        <w:rPr>
          <w:rFonts w:asciiTheme="minorHAnsi" w:hAnsiTheme="minorHAnsi" w:cs="Arial"/>
        </w:rPr>
        <w:t>Sachs</w:t>
      </w:r>
      <w:proofErr w:type="spellEnd"/>
      <w:r w:rsidRPr="000C3BB8">
        <w:rPr>
          <w:rFonts w:asciiTheme="minorHAnsi" w:hAnsiTheme="minorHAnsi" w:cs="Arial"/>
        </w:rPr>
        <w:t>), хотя сами ожидания сейчас более чем скромны – консенсус-прогноз предполагает для компаний S&amp;P 500 рост</w:t>
      </w:r>
      <w:proofErr w:type="gramEnd"/>
      <w:r w:rsidRPr="000C3BB8">
        <w:rPr>
          <w:rFonts w:asciiTheme="minorHAnsi" w:hAnsiTheme="minorHAnsi" w:cs="Arial"/>
        </w:rPr>
        <w:t xml:space="preserve"> прибыли в 4Q11 в среднем всего лишь на 3,4%, причем этот прогноз снижен дважды за последний месяц. </w:t>
      </w:r>
      <w:proofErr w:type="gramStart"/>
      <w:r w:rsidRPr="000C3BB8">
        <w:rPr>
          <w:rFonts w:asciiTheme="minorHAnsi" w:hAnsiTheme="minorHAnsi" w:cs="Arial"/>
        </w:rPr>
        <w:t xml:space="preserve">Китайская статистика показывает, что экономика пока далека от «жесткой посадки», однако Н. </w:t>
      </w:r>
      <w:proofErr w:type="spellStart"/>
      <w:r w:rsidRPr="000C3BB8">
        <w:rPr>
          <w:rFonts w:asciiTheme="minorHAnsi" w:hAnsiTheme="minorHAnsi" w:cs="Arial"/>
        </w:rPr>
        <w:t>Рубини</w:t>
      </w:r>
      <w:proofErr w:type="spellEnd"/>
      <w:r w:rsidRPr="000C3BB8">
        <w:rPr>
          <w:rFonts w:asciiTheme="minorHAnsi" w:hAnsiTheme="minorHAnsi" w:cs="Arial"/>
        </w:rPr>
        <w:t xml:space="preserve"> предполагает, что угроза замедления ее роста ниже приемлемых для социальной и политической стабильности 8% заставит власти в 1П12 снижать ставку рефинансирования, смягчать требования по обязательному резервированию и в целом – вновь стимулировать рост кредитования (по слухам в СМИ, о новых шагах может быть объявлено уже после китайского Нового</w:t>
      </w:r>
      <w:proofErr w:type="gramEnd"/>
      <w:r w:rsidRPr="000C3BB8">
        <w:rPr>
          <w:rFonts w:asciiTheme="minorHAnsi" w:hAnsiTheme="minorHAnsi" w:cs="Arial"/>
        </w:rPr>
        <w:t xml:space="preserve"> года в конце января). 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  <w:t xml:space="preserve">В центре внимания на прошлой неделе были переговоры руководства Греции с частными кредиторами и «тройкой» международных инспекторов. Стороны стремились прийти к соглашению до понедельника, когда министры финансов ЕС будут обсуждать помощь Греции. </w:t>
      </w:r>
      <w:proofErr w:type="gramStart"/>
      <w:r w:rsidRPr="000C3BB8">
        <w:rPr>
          <w:rFonts w:asciiTheme="minorHAnsi" w:hAnsiTheme="minorHAnsi" w:cs="Arial"/>
        </w:rPr>
        <w:t xml:space="preserve">Однако, несмотря на ободряющие заявления управляющего директора Института международных финансов (IIF) Ч. </w:t>
      </w:r>
      <w:proofErr w:type="spellStart"/>
      <w:r w:rsidRPr="000C3BB8">
        <w:rPr>
          <w:rFonts w:asciiTheme="minorHAnsi" w:hAnsiTheme="minorHAnsi" w:cs="Arial"/>
        </w:rPr>
        <w:t>Даллара</w:t>
      </w:r>
      <w:proofErr w:type="spellEnd"/>
      <w:r w:rsidRPr="000C3BB8">
        <w:rPr>
          <w:rFonts w:asciiTheme="minorHAnsi" w:hAnsiTheme="minorHAnsi" w:cs="Arial"/>
        </w:rPr>
        <w:t xml:space="preserve">, представляющего интересы большинства банков-кредиторов о близости к достижению компромисса, переговоры о замене старых облигаций на новые, при котором кредиторы должны потерять до 68% чистой приведенной стоимости долга, проходят нелегко, и непонятно, к каким рыночным последствиям приведет возможный отказ части кредиторов (например, </w:t>
      </w:r>
      <w:proofErr w:type="spellStart"/>
      <w:r w:rsidRPr="000C3BB8">
        <w:rPr>
          <w:rFonts w:asciiTheme="minorHAnsi" w:hAnsiTheme="minorHAnsi" w:cs="Arial"/>
        </w:rPr>
        <w:t>хедж-фондов</w:t>
      </w:r>
      <w:proofErr w:type="spellEnd"/>
      <w:r w:rsidRPr="000C3BB8">
        <w:rPr>
          <w:rFonts w:asciiTheme="minorHAnsi" w:hAnsiTheme="minorHAnsi" w:cs="Arial"/>
        </w:rPr>
        <w:t>) от условий сделки.</w:t>
      </w:r>
      <w:proofErr w:type="gramEnd"/>
      <w:r w:rsidRPr="000C3BB8">
        <w:rPr>
          <w:rFonts w:asciiTheme="minorHAnsi" w:hAnsiTheme="minorHAnsi" w:cs="Arial"/>
        </w:rPr>
        <w:t xml:space="preserve"> Реструктуризация частного долга – обязательный этап одобрения «тройкой» новой программы помощи, без которой дефолт Греции в марте практически неизбежен.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  <w:t xml:space="preserve">Затянувшаяся пауза в поиске механизмов спасения стран еврозоны была нарушена сообщением о том, что МВФ требуются кредитные ресурсы на 500 </w:t>
      </w:r>
      <w:proofErr w:type="spellStart"/>
      <w:proofErr w:type="gramStart"/>
      <w:r w:rsidRPr="000C3BB8">
        <w:rPr>
          <w:rFonts w:asciiTheme="minorHAnsi" w:hAnsiTheme="minorHAnsi" w:cs="Arial"/>
        </w:rPr>
        <w:t>млрд</w:t>
      </w:r>
      <w:proofErr w:type="spellEnd"/>
      <w:proofErr w:type="gramEnd"/>
      <w:r w:rsidRPr="000C3BB8">
        <w:rPr>
          <w:rFonts w:asciiTheme="minorHAnsi" w:hAnsiTheme="minorHAnsi" w:cs="Arial"/>
        </w:rPr>
        <w:t xml:space="preserve"> </w:t>
      </w:r>
      <w:proofErr w:type="spellStart"/>
      <w:r w:rsidRPr="000C3BB8">
        <w:rPr>
          <w:rFonts w:asciiTheme="minorHAnsi" w:hAnsiTheme="minorHAnsi" w:cs="Arial"/>
        </w:rPr>
        <w:t>долл</w:t>
      </w:r>
      <w:proofErr w:type="spellEnd"/>
      <w:r w:rsidRPr="000C3BB8">
        <w:rPr>
          <w:rFonts w:asciiTheme="minorHAnsi" w:hAnsiTheme="minorHAnsi" w:cs="Arial"/>
        </w:rPr>
        <w:t xml:space="preserve"> (из которых 200 </w:t>
      </w:r>
      <w:proofErr w:type="spellStart"/>
      <w:r w:rsidRPr="000C3BB8">
        <w:rPr>
          <w:rFonts w:asciiTheme="minorHAnsi" w:hAnsiTheme="minorHAnsi" w:cs="Arial"/>
        </w:rPr>
        <w:t>млрд</w:t>
      </w:r>
      <w:proofErr w:type="spellEnd"/>
      <w:r w:rsidRPr="000C3BB8">
        <w:rPr>
          <w:rFonts w:asciiTheme="minorHAnsi" w:hAnsiTheme="minorHAnsi" w:cs="Arial"/>
        </w:rPr>
        <w:t xml:space="preserve"> уже обещано в прошлом декабре от </w:t>
      </w:r>
      <w:proofErr w:type="spellStart"/>
      <w:r w:rsidRPr="000C3BB8">
        <w:rPr>
          <w:rFonts w:asciiTheme="minorHAnsi" w:hAnsiTheme="minorHAnsi" w:cs="Arial"/>
        </w:rPr>
        <w:t>центробанков</w:t>
      </w:r>
      <w:proofErr w:type="spellEnd"/>
      <w:r w:rsidRPr="000C3BB8">
        <w:rPr>
          <w:rFonts w:asciiTheme="minorHAnsi" w:hAnsiTheme="minorHAnsi" w:cs="Arial"/>
        </w:rPr>
        <w:t xml:space="preserve"> ЕС). Фонд надеется, что вместе с уже имеющимися $390 </w:t>
      </w:r>
      <w:proofErr w:type="spellStart"/>
      <w:proofErr w:type="gramStart"/>
      <w:r w:rsidRPr="000C3BB8">
        <w:rPr>
          <w:rFonts w:asciiTheme="minorHAnsi" w:hAnsiTheme="minorHAnsi" w:cs="Arial"/>
        </w:rPr>
        <w:t>млрд</w:t>
      </w:r>
      <w:proofErr w:type="spellEnd"/>
      <w:proofErr w:type="gramEnd"/>
      <w:r w:rsidRPr="000C3BB8">
        <w:rPr>
          <w:rFonts w:asciiTheme="minorHAnsi" w:hAnsiTheme="minorHAnsi" w:cs="Arial"/>
        </w:rPr>
        <w:t xml:space="preserve">, сумма примерно в $1 </w:t>
      </w:r>
      <w:proofErr w:type="spellStart"/>
      <w:r w:rsidRPr="000C3BB8">
        <w:rPr>
          <w:rFonts w:asciiTheme="minorHAnsi" w:hAnsiTheme="minorHAnsi" w:cs="Arial"/>
        </w:rPr>
        <w:t>трлн</w:t>
      </w:r>
      <w:proofErr w:type="spellEnd"/>
      <w:r w:rsidRPr="000C3BB8">
        <w:rPr>
          <w:rFonts w:asciiTheme="minorHAnsi" w:hAnsiTheme="minorHAnsi" w:cs="Arial"/>
        </w:rPr>
        <w:t xml:space="preserve"> в случае углубления кризиса поможет справиться с кредитованием проблемных стран в течение 2 лет. </w:t>
      </w:r>
      <w:r w:rsidRPr="000C3BB8">
        <w:rPr>
          <w:rFonts w:asciiTheme="minorHAnsi" w:hAnsiTheme="minorHAnsi" w:cs="Arial"/>
        </w:rPr>
        <w:lastRenderedPageBreak/>
        <w:t xml:space="preserve">Основные надежды фонд возлагает на BRICS и нефтедобывающие страны, тема уже обсуждалась в выходные на форуме </w:t>
      </w:r>
      <w:proofErr w:type="spellStart"/>
      <w:r w:rsidRPr="000C3BB8">
        <w:rPr>
          <w:rFonts w:asciiTheme="minorHAnsi" w:hAnsiTheme="minorHAnsi" w:cs="Arial"/>
        </w:rPr>
        <w:t>замминистров</w:t>
      </w:r>
      <w:proofErr w:type="spellEnd"/>
      <w:r w:rsidRPr="000C3BB8">
        <w:rPr>
          <w:rFonts w:asciiTheme="minorHAnsi" w:hAnsiTheme="minorHAnsi" w:cs="Arial"/>
        </w:rPr>
        <w:t xml:space="preserve"> финансов G20. Надежды на помощь извне уже не раз рассыпались, поскольку потенциальные кредиторы не выражали желания предоставлять средства без возможности влиять на будущие решения </w:t>
      </w:r>
      <w:proofErr w:type="spellStart"/>
      <w:r w:rsidRPr="000C3BB8">
        <w:rPr>
          <w:rFonts w:asciiTheme="minorHAnsi" w:hAnsiTheme="minorHAnsi" w:cs="Arial"/>
        </w:rPr>
        <w:t>рецепиентов</w:t>
      </w:r>
      <w:proofErr w:type="spellEnd"/>
      <w:r w:rsidRPr="000C3BB8">
        <w:rPr>
          <w:rFonts w:asciiTheme="minorHAnsi" w:hAnsiTheme="minorHAnsi" w:cs="Arial"/>
        </w:rPr>
        <w:t xml:space="preserve"> помощи.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  <w:t xml:space="preserve">На внутреннем рынке лучше индекса ММВБ в отраслевом разрезе росли на прошлой неделе потребительский сектор, металлургия, химия и финансы. Среди компаний лидерами роста стали акции Банка Санкт-Петербург (АО +13,9%, АП - +8,5%), нефтяные акции второго эшелона - </w:t>
      </w:r>
      <w:proofErr w:type="spellStart"/>
      <w:r w:rsidRPr="000C3BB8">
        <w:rPr>
          <w:rFonts w:asciiTheme="minorHAnsi" w:hAnsiTheme="minorHAnsi" w:cs="Arial"/>
        </w:rPr>
        <w:t>Башнефть</w:t>
      </w:r>
      <w:proofErr w:type="spellEnd"/>
      <w:r w:rsidRPr="000C3BB8">
        <w:rPr>
          <w:rFonts w:asciiTheme="minorHAnsi" w:hAnsiTheme="minorHAnsi" w:cs="Arial"/>
        </w:rPr>
        <w:t xml:space="preserve"> (+7,2%), </w:t>
      </w:r>
      <w:proofErr w:type="spellStart"/>
      <w:r w:rsidRPr="000C3BB8">
        <w:rPr>
          <w:rFonts w:asciiTheme="minorHAnsi" w:hAnsiTheme="minorHAnsi" w:cs="Arial"/>
        </w:rPr>
        <w:t>Татнефть</w:t>
      </w:r>
      <w:proofErr w:type="spellEnd"/>
      <w:r w:rsidRPr="000C3BB8">
        <w:rPr>
          <w:rFonts w:asciiTheme="minorHAnsi" w:hAnsiTheme="minorHAnsi" w:cs="Arial"/>
        </w:rPr>
        <w:t xml:space="preserve"> (+5,6%). Акции </w:t>
      </w:r>
      <w:proofErr w:type="spellStart"/>
      <w:r w:rsidRPr="000C3BB8">
        <w:rPr>
          <w:rFonts w:asciiTheme="minorHAnsi" w:hAnsiTheme="minorHAnsi" w:cs="Arial"/>
        </w:rPr>
        <w:t>МВидео</w:t>
      </w:r>
      <w:proofErr w:type="spellEnd"/>
      <w:r w:rsidRPr="000C3BB8">
        <w:rPr>
          <w:rFonts w:asciiTheme="minorHAnsi" w:hAnsiTheme="minorHAnsi" w:cs="Arial"/>
        </w:rPr>
        <w:t xml:space="preserve"> взлетели на 7,8% - компания </w:t>
      </w:r>
      <w:proofErr w:type="gramStart"/>
      <w:r w:rsidRPr="000C3BB8">
        <w:rPr>
          <w:rFonts w:asciiTheme="minorHAnsi" w:hAnsiTheme="minorHAnsi" w:cs="Arial"/>
        </w:rPr>
        <w:t>отчиталась о росте</w:t>
      </w:r>
      <w:proofErr w:type="gramEnd"/>
      <w:r w:rsidRPr="000C3BB8">
        <w:rPr>
          <w:rFonts w:asciiTheme="minorHAnsi" w:hAnsiTheme="minorHAnsi" w:cs="Arial"/>
        </w:rPr>
        <w:t xml:space="preserve"> выручки в 2011 г. почти на 30%. Между тем, акции Сбербанка росли вместе с рынком (+1,8%), несмотря на сильные результаты декабря 2011 г. и года в целом по РСБУ, опубликованные на прошлой неделе. </w:t>
      </w:r>
      <w:r w:rsidRPr="000C3BB8">
        <w:rPr>
          <w:rFonts w:asciiTheme="minorHAnsi" w:hAnsiTheme="minorHAnsi" w:cs="Arial"/>
        </w:rPr>
        <w:br/>
      </w:r>
    </w:p>
    <w:p w:rsidR="0051356E" w:rsidRPr="000C3BB8" w:rsidRDefault="0051356E" w:rsidP="0051356E">
      <w:pPr>
        <w:jc w:val="both"/>
        <w:rPr>
          <w:rFonts w:asciiTheme="minorHAnsi" w:hAnsiTheme="minorHAnsi" w:cs="Arial"/>
        </w:rPr>
      </w:pPr>
      <w:r w:rsidRPr="000C3BB8">
        <w:rPr>
          <w:rFonts w:asciiTheme="minorHAnsi" w:hAnsiTheme="minorHAnsi" w:cs="Arial"/>
        </w:rPr>
        <w:t xml:space="preserve">В пятницу российский рынок корректировался вниз, неопределенность перед выходными усиливалась трудными переговорами Греции с кредиторами о параметрах реструктуризации долга. Данные о производственной активности в Китае также не обрадовали рынки – предварительный  январский индекс, рассчитываемый HSBC, составил 48,8 п., указав на вероятное сокращение производства третий месяц подряд, что привело к снижению цен на нефть и оказало дополнительное давление на российские акции. По итогам основной сессии индекс ММВБ снизился на  0,8%, откатившись ниже 1500 п., индекс РТС потерял 0,5%. Большинство относительно ликвидных бумаг закрылось в негативной зоне, за исключением Северстали, </w:t>
      </w:r>
      <w:proofErr w:type="spellStart"/>
      <w:r w:rsidRPr="000C3BB8">
        <w:rPr>
          <w:rFonts w:asciiTheme="minorHAnsi" w:hAnsiTheme="minorHAnsi" w:cs="Arial"/>
        </w:rPr>
        <w:t>Татнефти</w:t>
      </w:r>
      <w:proofErr w:type="spellEnd"/>
      <w:r w:rsidRPr="000C3BB8">
        <w:rPr>
          <w:rFonts w:asciiTheme="minorHAnsi" w:hAnsiTheme="minorHAnsi" w:cs="Arial"/>
        </w:rPr>
        <w:t xml:space="preserve"> и АвтоВАЗа. Хуже рынка упали акции Магнита (-5,7%), </w:t>
      </w:r>
      <w:proofErr w:type="spellStart"/>
      <w:r w:rsidRPr="000C3BB8">
        <w:rPr>
          <w:rFonts w:asciiTheme="minorHAnsi" w:hAnsiTheme="minorHAnsi" w:cs="Arial"/>
        </w:rPr>
        <w:t>Распадской</w:t>
      </w:r>
      <w:proofErr w:type="spellEnd"/>
      <w:r w:rsidRPr="000C3BB8">
        <w:rPr>
          <w:rFonts w:asciiTheme="minorHAnsi" w:hAnsiTheme="minorHAnsi" w:cs="Arial"/>
        </w:rPr>
        <w:t xml:space="preserve"> (-2,6%), </w:t>
      </w:r>
      <w:proofErr w:type="spellStart"/>
      <w:r w:rsidRPr="000C3BB8">
        <w:rPr>
          <w:rFonts w:asciiTheme="minorHAnsi" w:hAnsiTheme="minorHAnsi" w:cs="Arial"/>
        </w:rPr>
        <w:t>Ростелекома</w:t>
      </w:r>
      <w:proofErr w:type="spellEnd"/>
      <w:r w:rsidRPr="000C3BB8">
        <w:rPr>
          <w:rFonts w:asciiTheme="minorHAnsi" w:hAnsiTheme="minorHAnsi" w:cs="Arial"/>
        </w:rPr>
        <w:t xml:space="preserve"> (-2,4%).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  <w:t xml:space="preserve">Европейские фондовые биржи закрылись в пятницу умеренным снижением, в среднем в пределах 0,5%. В конце дня итальянское правительство одобрило пакет мер по либерализации регулирования в ряде отраслей экономики. Американские фондовые индексы по итогам </w:t>
      </w:r>
      <w:proofErr w:type="spellStart"/>
      <w:r w:rsidRPr="000C3BB8">
        <w:rPr>
          <w:rFonts w:asciiTheme="minorHAnsi" w:hAnsiTheme="minorHAnsi" w:cs="Arial"/>
        </w:rPr>
        <w:t>волатильной</w:t>
      </w:r>
      <w:proofErr w:type="spellEnd"/>
      <w:r w:rsidRPr="000C3BB8">
        <w:rPr>
          <w:rFonts w:asciiTheme="minorHAnsi" w:hAnsiTheme="minorHAnsi" w:cs="Arial"/>
        </w:rPr>
        <w:t xml:space="preserve"> торговой сессии закрылись </w:t>
      </w:r>
      <w:proofErr w:type="spellStart"/>
      <w:r w:rsidRPr="000C3BB8">
        <w:rPr>
          <w:rFonts w:asciiTheme="minorHAnsi" w:hAnsiTheme="minorHAnsi" w:cs="Arial"/>
        </w:rPr>
        <w:t>разнонаправленно</w:t>
      </w:r>
      <w:proofErr w:type="spellEnd"/>
      <w:r w:rsidRPr="000C3BB8">
        <w:rPr>
          <w:rFonts w:asciiTheme="minorHAnsi" w:hAnsiTheme="minorHAnsi" w:cs="Arial"/>
        </w:rPr>
        <w:t xml:space="preserve">, основной рост произошел в последний час торгов. Нефтяные фьючерсы (WTI) подешевели примерно на 2%, </w:t>
      </w:r>
      <w:proofErr w:type="spellStart"/>
      <w:r w:rsidRPr="000C3BB8">
        <w:rPr>
          <w:rFonts w:asciiTheme="minorHAnsi" w:hAnsiTheme="minorHAnsi" w:cs="Arial"/>
        </w:rPr>
        <w:t>Brent</w:t>
      </w:r>
      <w:proofErr w:type="spellEnd"/>
      <w:r w:rsidRPr="000C3BB8">
        <w:rPr>
          <w:rFonts w:asciiTheme="minorHAnsi" w:hAnsiTheme="minorHAnsi" w:cs="Arial"/>
        </w:rPr>
        <w:t xml:space="preserve"> – на 1,2%.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  <w:t xml:space="preserve">В субботу переговоры Греции с IIF вновь были прерваны – стороны не могут прийти к согласию по купонным ставкам новых облигаций.  МВФ и Германия настаивают, что купонная ставка должна быть в районе 3%, иначе снижение долговой нагрузки вновь окажется недостаточным, частные кредиторы требуют более высокой доходности (в среднем около 4%). Таким образом, к понедельнику </w:t>
      </w:r>
      <w:proofErr w:type="spellStart"/>
      <w:r w:rsidRPr="000C3BB8">
        <w:rPr>
          <w:rFonts w:asciiTheme="minorHAnsi" w:hAnsiTheme="minorHAnsi" w:cs="Arial"/>
        </w:rPr>
        <w:t>финализировать</w:t>
      </w:r>
      <w:proofErr w:type="spellEnd"/>
      <w:r w:rsidRPr="000C3BB8">
        <w:rPr>
          <w:rFonts w:asciiTheme="minorHAnsi" w:hAnsiTheme="minorHAnsi" w:cs="Arial"/>
        </w:rPr>
        <w:t xml:space="preserve"> условия реструктуризации долга Греции, по-видимому, не удастся, что увеличивает риски дефолта страны и может оказать сегодня давление на рынки.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  <w:t xml:space="preserve">В США усиливается предвыборная политическая активность. В выходные в еженедельном обращении к нации президент США Б. </w:t>
      </w:r>
      <w:proofErr w:type="spellStart"/>
      <w:r w:rsidRPr="000C3BB8">
        <w:rPr>
          <w:rFonts w:asciiTheme="minorHAnsi" w:hAnsiTheme="minorHAnsi" w:cs="Arial"/>
        </w:rPr>
        <w:t>Обама</w:t>
      </w:r>
      <w:proofErr w:type="spellEnd"/>
      <w:r w:rsidRPr="000C3BB8">
        <w:rPr>
          <w:rFonts w:asciiTheme="minorHAnsi" w:hAnsiTheme="minorHAnsi" w:cs="Arial"/>
        </w:rPr>
        <w:t xml:space="preserve"> пообещал представить на этой неделе план создания новых рабочих ме</w:t>
      </w:r>
      <w:proofErr w:type="gramStart"/>
      <w:r w:rsidRPr="000C3BB8">
        <w:rPr>
          <w:rFonts w:asciiTheme="minorHAnsi" w:hAnsiTheme="minorHAnsi" w:cs="Arial"/>
        </w:rPr>
        <w:t>ст в пр</w:t>
      </w:r>
      <w:proofErr w:type="gramEnd"/>
      <w:r w:rsidRPr="000C3BB8">
        <w:rPr>
          <w:rFonts w:asciiTheme="minorHAnsi" w:hAnsiTheme="minorHAnsi" w:cs="Arial"/>
        </w:rPr>
        <w:t xml:space="preserve">омышленности и энергетике, не требующий одобрения Конгресса.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  <w:t xml:space="preserve">Сегодня утром внешний фон носит смешанный характер – сохраняющиеся разногласия Греции с кредиторами вызывают настороженность, большинство рынков реагирует умеренно негативно – слабое снижение цен на нефть WTI (-0,3%), ослабление евро (-0,2%), снижение американских фьючерсов (-0,3%). Азиатские индексы слабо растут (MSCI </w:t>
      </w:r>
      <w:proofErr w:type="spellStart"/>
      <w:r w:rsidRPr="000C3BB8">
        <w:rPr>
          <w:rFonts w:asciiTheme="minorHAnsi" w:hAnsiTheme="minorHAnsi" w:cs="Arial"/>
        </w:rPr>
        <w:lastRenderedPageBreak/>
        <w:t>Asia</w:t>
      </w:r>
      <w:proofErr w:type="spellEnd"/>
      <w:r w:rsidRPr="000C3BB8">
        <w:rPr>
          <w:rFonts w:asciiTheme="minorHAnsi" w:hAnsiTheme="minorHAnsi" w:cs="Arial"/>
        </w:rPr>
        <w:t xml:space="preserve"> </w:t>
      </w:r>
      <w:proofErr w:type="spellStart"/>
      <w:r w:rsidRPr="000C3BB8">
        <w:rPr>
          <w:rFonts w:asciiTheme="minorHAnsi" w:hAnsiTheme="minorHAnsi" w:cs="Arial"/>
        </w:rPr>
        <w:t>Pacific</w:t>
      </w:r>
      <w:proofErr w:type="spellEnd"/>
      <w:r w:rsidRPr="000C3BB8">
        <w:rPr>
          <w:rFonts w:asciiTheme="minorHAnsi" w:hAnsiTheme="minorHAnsi" w:cs="Arial"/>
        </w:rPr>
        <w:t xml:space="preserve"> +0.1%), при этом рынки Китая, Южной Кореи, Тайваня и Гонконга закрыты в связи с празднованием Нового года. </w:t>
      </w:r>
    </w:p>
    <w:p w:rsidR="0051356E" w:rsidRPr="000C3BB8" w:rsidRDefault="0051356E" w:rsidP="0051356E">
      <w:pPr>
        <w:pStyle w:val="a3"/>
        <w:jc w:val="both"/>
        <w:rPr>
          <w:rFonts w:asciiTheme="minorHAnsi" w:hAnsiTheme="minorHAnsi" w:cs="Arial"/>
          <w:color w:val="002060"/>
        </w:rPr>
      </w:pPr>
      <w:r w:rsidRPr="000C3BB8">
        <w:rPr>
          <w:rFonts w:asciiTheme="minorHAnsi" w:hAnsiTheme="minorHAnsi" w:cs="Arial"/>
        </w:rPr>
        <w:t xml:space="preserve">Мы ожидаем слабо негативного открытия российского рынка, дальнейшую динамику определит открытие европейских бирж. Основные события дня – саммит министров финансов ЕС (23-24 января), на котором будет обсуждаться новые бюджетные правила, увеличение финансовых ресурсов для поддержки проблемных стран и реструктуризация долга Греции. Ожидаются аукционы по размещению </w:t>
      </w:r>
      <w:proofErr w:type="spellStart"/>
      <w:r w:rsidRPr="000C3BB8">
        <w:rPr>
          <w:rFonts w:asciiTheme="minorHAnsi" w:hAnsiTheme="minorHAnsi" w:cs="Arial"/>
        </w:rPr>
        <w:t>гособлигаций</w:t>
      </w:r>
      <w:proofErr w:type="spellEnd"/>
      <w:r w:rsidRPr="000C3BB8">
        <w:rPr>
          <w:rFonts w:asciiTheme="minorHAnsi" w:hAnsiTheme="minorHAnsi" w:cs="Arial"/>
        </w:rPr>
        <w:t xml:space="preserve"> Германии и Франции. Выйдет индекс потребительского доверия в еврозоне. Также сегодня министры ЕС могут принять решение о сроках введения новых санкций по Ирану, Франция добивается скорейшего введения нефтяного эмбарго, что может положительно отразиться на нефтяных ценах. Впрочем, большинство европейских стран не готово к отказу от поставок иранской нефти сейчас, им требуется несколько месяцев для ее замещения альтернативными источниками.  Сбербанк начнет  </w:t>
      </w:r>
      <w:proofErr w:type="spellStart"/>
      <w:r w:rsidRPr="000C3BB8">
        <w:rPr>
          <w:rFonts w:asciiTheme="minorHAnsi" w:hAnsiTheme="minorHAnsi" w:cs="Arial"/>
        </w:rPr>
        <w:t>non-deal</w:t>
      </w:r>
      <w:proofErr w:type="spellEnd"/>
      <w:r w:rsidRPr="000C3BB8">
        <w:rPr>
          <w:rFonts w:asciiTheme="minorHAnsi" w:hAnsiTheme="minorHAnsi" w:cs="Arial"/>
        </w:rPr>
        <w:t xml:space="preserve"> </w:t>
      </w:r>
      <w:proofErr w:type="spellStart"/>
      <w:r w:rsidRPr="000C3BB8">
        <w:rPr>
          <w:rFonts w:asciiTheme="minorHAnsi" w:hAnsiTheme="minorHAnsi" w:cs="Arial"/>
        </w:rPr>
        <w:t>road</w:t>
      </w:r>
      <w:proofErr w:type="spellEnd"/>
      <w:r w:rsidRPr="000C3BB8">
        <w:rPr>
          <w:rFonts w:asciiTheme="minorHAnsi" w:hAnsiTheme="minorHAnsi" w:cs="Arial"/>
        </w:rPr>
        <w:t xml:space="preserve"> </w:t>
      </w:r>
      <w:proofErr w:type="spellStart"/>
      <w:r w:rsidRPr="000C3BB8">
        <w:rPr>
          <w:rFonts w:asciiTheme="minorHAnsi" w:hAnsiTheme="minorHAnsi" w:cs="Arial"/>
        </w:rPr>
        <w:t>show</w:t>
      </w:r>
      <w:proofErr w:type="spellEnd"/>
      <w:r w:rsidRPr="000C3BB8">
        <w:rPr>
          <w:rFonts w:asciiTheme="minorHAnsi" w:hAnsiTheme="minorHAnsi" w:cs="Arial"/>
        </w:rPr>
        <w:t xml:space="preserve"> в Великобритании и США с целью подготовки к возможному выходу на рынок еврооблигаций в 1П12.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  <w:t xml:space="preserve">В течение недели событием станет заседание комитета по открытым рынкам ФРС 25  января (изменений в ставках не ожидается, основная интрига связана с тем, что ФРС впервые в истории может опубликовать прогнозы изменения базовой процентной ставки – ожидаемое  время первого увеличения и темпы дальнейших повышений), после заседания состоится пресс-конференция Б. </w:t>
      </w:r>
      <w:proofErr w:type="spellStart"/>
      <w:r w:rsidRPr="000C3BB8">
        <w:rPr>
          <w:rFonts w:asciiTheme="minorHAnsi" w:hAnsiTheme="minorHAnsi" w:cs="Arial"/>
        </w:rPr>
        <w:t>Бернанке</w:t>
      </w:r>
      <w:proofErr w:type="spellEnd"/>
      <w:r w:rsidRPr="000C3BB8">
        <w:rPr>
          <w:rFonts w:asciiTheme="minorHAnsi" w:hAnsiTheme="minorHAnsi" w:cs="Arial"/>
        </w:rPr>
        <w:t xml:space="preserve">. Не менее важной ожидается подготовка к саммиту лидеров ЕС и дальнейшие новости по греческим переговорам. Пройдут аукционы по размещению госбумаг Италии, Испании и Нидерландов. </w:t>
      </w:r>
      <w:proofErr w:type="gramStart"/>
      <w:r w:rsidRPr="000C3BB8">
        <w:rPr>
          <w:rFonts w:asciiTheme="minorHAnsi" w:hAnsiTheme="minorHAnsi" w:cs="Arial"/>
        </w:rPr>
        <w:t>Из статистики по США выйдет первая оценка ВВП в 4Q (консенсус предполагает ускорение роста до 3% вследствие сезонного увеличения потребительского спроса и наращивания компаниями товарных запасов) и индексу потребительского доверия в январе (ожидается небольшое увеличение к предыдущему значению в 74, соответствующему 8-месячному максимуму), а также - ценам на жилье, продажам новых домов, заказам на товары длительного пользования, опережающим индикаторам.</w:t>
      </w:r>
      <w:proofErr w:type="gramEnd"/>
      <w:r w:rsidRPr="000C3BB8">
        <w:rPr>
          <w:rFonts w:asciiTheme="minorHAnsi" w:hAnsiTheme="minorHAnsi" w:cs="Arial"/>
        </w:rPr>
        <w:t xml:space="preserve"> </w:t>
      </w:r>
      <w:r w:rsidRPr="000C3BB8">
        <w:rPr>
          <w:rFonts w:asciiTheme="minorHAnsi" w:hAnsiTheme="minorHAnsi" w:cs="Arial"/>
        </w:rPr>
        <w:br/>
        <w:t xml:space="preserve">Продолжится публикация квартальных отчетов американских компаний. В Китае на этой неделе банки и биржи будут закрыты в связи с новогодними праздниками. Завершится неделя </w:t>
      </w:r>
      <w:proofErr w:type="gramStart"/>
      <w:r w:rsidRPr="000C3BB8">
        <w:rPr>
          <w:rFonts w:asciiTheme="minorHAnsi" w:hAnsiTheme="minorHAnsi" w:cs="Arial"/>
        </w:rPr>
        <w:t>Всемирным</w:t>
      </w:r>
      <w:proofErr w:type="gramEnd"/>
      <w:r w:rsidRPr="000C3BB8">
        <w:rPr>
          <w:rFonts w:asciiTheme="minorHAnsi" w:hAnsiTheme="minorHAnsi" w:cs="Arial"/>
        </w:rPr>
        <w:t xml:space="preserve"> экономическим форумов в Давосе. 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</w:rPr>
        <w:br/>
        <w:t>Риски дефолта Греции могут способствовать коррекционному снижению рынков в начале недели, в то же время  до конца месяца возможно возобновление роста, поскольку перед предстоящим саммитом ЕС (30 января) рынки будут надеяться на новые антикризисные предложения и сближение позиций европейских лидеров. Поддержку рынкам могут оказать статистика из США и спекуляции относительно возможного принятия стимулирующих мер в э</w:t>
      </w:r>
      <w:r w:rsidR="000C3BB8" w:rsidRPr="000C3BB8">
        <w:rPr>
          <w:rFonts w:asciiTheme="minorHAnsi" w:hAnsiTheme="minorHAnsi" w:cs="Arial"/>
        </w:rPr>
        <w:t xml:space="preserve">кономике Китая после новогодних </w:t>
      </w:r>
      <w:r w:rsidRPr="000C3BB8">
        <w:rPr>
          <w:rFonts w:asciiTheme="minorHAnsi" w:hAnsiTheme="minorHAnsi" w:cs="Arial"/>
        </w:rPr>
        <w:t xml:space="preserve">каникул.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  <w:color w:val="002060"/>
        </w:rPr>
        <w:t> </w:t>
      </w:r>
      <w:r w:rsidRPr="000C3BB8">
        <w:rPr>
          <w:rFonts w:asciiTheme="minorHAnsi" w:hAnsiTheme="minorHAnsi" w:cs="Arial"/>
        </w:rPr>
        <w:t xml:space="preserve"> </w:t>
      </w:r>
      <w:r w:rsidRPr="000C3BB8">
        <w:rPr>
          <w:rFonts w:asciiTheme="minorHAnsi" w:hAnsiTheme="minorHAnsi" w:cs="Arial"/>
        </w:rPr>
        <w:br/>
      </w:r>
    </w:p>
    <w:p w:rsidR="00FC42A8" w:rsidRPr="000C3BB8" w:rsidRDefault="0051356E" w:rsidP="0051356E">
      <w:pPr>
        <w:pStyle w:val="a3"/>
        <w:rPr>
          <w:rFonts w:ascii="Arial" w:hAnsi="Arial" w:cs="Arial"/>
        </w:rPr>
      </w:pPr>
      <w:r w:rsidRPr="000C3BB8">
        <w:rPr>
          <w:rFonts w:asciiTheme="minorHAnsi" w:hAnsiTheme="minorHAnsi" w:cs="Arial"/>
          <w:color w:val="002060"/>
        </w:rPr>
        <w:t>Ольга Беленькая,</w:t>
      </w:r>
      <w:r w:rsidRPr="000C3BB8">
        <w:rPr>
          <w:rFonts w:asciiTheme="minorHAnsi" w:hAnsiTheme="minorHAnsi" w:cs="Arial"/>
        </w:rPr>
        <w:t xml:space="preserve">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  <w:color w:val="002060"/>
        </w:rPr>
        <w:t>зам. руководителя аналитического департамент</w:t>
      </w:r>
      <w:proofErr w:type="gramStart"/>
      <w:r w:rsidRPr="000C3BB8">
        <w:rPr>
          <w:rFonts w:asciiTheme="minorHAnsi" w:hAnsiTheme="minorHAnsi" w:cs="Arial"/>
          <w:color w:val="002060"/>
        </w:rPr>
        <w:t>а</w:t>
      </w:r>
      <w:r w:rsidRPr="000C3BB8">
        <w:rPr>
          <w:rFonts w:asciiTheme="minorHAnsi" w:hAnsiTheme="minorHAnsi" w:cs="Arial"/>
        </w:rPr>
        <w:t xml:space="preserve"> </w:t>
      </w:r>
      <w:r w:rsidRPr="000C3BB8">
        <w:rPr>
          <w:rFonts w:asciiTheme="minorHAnsi" w:hAnsiTheme="minorHAnsi" w:cs="Arial"/>
        </w:rPr>
        <w:br/>
      </w:r>
      <w:r w:rsidRPr="000C3BB8">
        <w:rPr>
          <w:rFonts w:asciiTheme="minorHAnsi" w:hAnsiTheme="minorHAnsi" w:cs="Arial"/>
          <w:color w:val="002060"/>
        </w:rPr>
        <w:t>ООО</w:t>
      </w:r>
      <w:proofErr w:type="gramEnd"/>
      <w:r w:rsidRPr="000C3BB8">
        <w:rPr>
          <w:rFonts w:asciiTheme="minorHAnsi" w:hAnsiTheme="minorHAnsi" w:cs="Arial"/>
          <w:color w:val="002060"/>
        </w:rPr>
        <w:t xml:space="preserve"> "СОВЛИНК"</w:t>
      </w:r>
      <w:r w:rsidRPr="000C3BB8">
        <w:rPr>
          <w:rFonts w:asciiTheme="minorHAnsi" w:hAnsiTheme="minorHAnsi" w:cs="Arial"/>
        </w:rPr>
        <w:t xml:space="preserve"> </w:t>
      </w:r>
      <w:r w:rsidRPr="000C3BB8">
        <w:rPr>
          <w:rFonts w:ascii="Arial" w:hAnsi="Arial" w:cs="Arial"/>
        </w:rPr>
        <w:br/>
      </w:r>
      <w:r w:rsidRPr="000C3BB8">
        <w:rPr>
          <w:rFonts w:ascii="Arial" w:hAnsi="Arial" w:cs="Arial"/>
          <w:color w:val="002060"/>
        </w:rPr>
        <w:t> </w:t>
      </w:r>
      <w:r w:rsidRPr="000C3BB8">
        <w:rPr>
          <w:rFonts w:ascii="Arial" w:hAnsi="Arial" w:cs="Arial"/>
        </w:rPr>
        <w:t xml:space="preserve"> </w:t>
      </w:r>
      <w:r w:rsidRPr="000C3BB8">
        <w:rPr>
          <w:rFonts w:ascii="Arial" w:hAnsi="Arial" w:cs="Arial"/>
        </w:rPr>
        <w:br/>
      </w:r>
    </w:p>
    <w:sectPr w:rsidR="00FC42A8" w:rsidRPr="000C3BB8" w:rsidSect="00A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C50"/>
    <w:multiLevelType w:val="hybridMultilevel"/>
    <w:tmpl w:val="92A0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04DCA"/>
    <w:multiLevelType w:val="multilevel"/>
    <w:tmpl w:val="055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C6FBA"/>
    <w:multiLevelType w:val="hybridMultilevel"/>
    <w:tmpl w:val="06A65DC8"/>
    <w:lvl w:ilvl="0" w:tplc="3ED0141A">
      <w:numFmt w:val="bullet"/>
      <w:lvlText w:val="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C83E88"/>
    <w:multiLevelType w:val="multilevel"/>
    <w:tmpl w:val="632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2B023C"/>
    <w:multiLevelType w:val="hybridMultilevel"/>
    <w:tmpl w:val="47C851AC"/>
    <w:lvl w:ilvl="0" w:tplc="66D2F8C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61F6"/>
    <w:rsid w:val="0000173E"/>
    <w:rsid w:val="000021B0"/>
    <w:rsid w:val="00002E36"/>
    <w:rsid w:val="00011350"/>
    <w:rsid w:val="00016329"/>
    <w:rsid w:val="00025B2D"/>
    <w:rsid w:val="0003178E"/>
    <w:rsid w:val="00035811"/>
    <w:rsid w:val="00035D48"/>
    <w:rsid w:val="00050DE3"/>
    <w:rsid w:val="00052BAD"/>
    <w:rsid w:val="00066E99"/>
    <w:rsid w:val="000902E7"/>
    <w:rsid w:val="000A7511"/>
    <w:rsid w:val="000B46F9"/>
    <w:rsid w:val="000C0D11"/>
    <w:rsid w:val="000C3BB8"/>
    <w:rsid w:val="000D24A5"/>
    <w:rsid w:val="000D2BD3"/>
    <w:rsid w:val="00111BC8"/>
    <w:rsid w:val="00121A4F"/>
    <w:rsid w:val="00135892"/>
    <w:rsid w:val="001561F6"/>
    <w:rsid w:val="001564BE"/>
    <w:rsid w:val="00157598"/>
    <w:rsid w:val="001A63F4"/>
    <w:rsid w:val="001D23CE"/>
    <w:rsid w:val="001D2659"/>
    <w:rsid w:val="00210E72"/>
    <w:rsid w:val="00213804"/>
    <w:rsid w:val="002167A9"/>
    <w:rsid w:val="00293709"/>
    <w:rsid w:val="002B39D5"/>
    <w:rsid w:val="00301473"/>
    <w:rsid w:val="00310CB3"/>
    <w:rsid w:val="00321A28"/>
    <w:rsid w:val="00353FE1"/>
    <w:rsid w:val="0038468A"/>
    <w:rsid w:val="003E1859"/>
    <w:rsid w:val="00414D2A"/>
    <w:rsid w:val="00433377"/>
    <w:rsid w:val="0045319C"/>
    <w:rsid w:val="004755A2"/>
    <w:rsid w:val="0048139D"/>
    <w:rsid w:val="004C1643"/>
    <w:rsid w:val="0051356E"/>
    <w:rsid w:val="00515FDC"/>
    <w:rsid w:val="00536B61"/>
    <w:rsid w:val="005647D0"/>
    <w:rsid w:val="00570224"/>
    <w:rsid w:val="00592173"/>
    <w:rsid w:val="005D7752"/>
    <w:rsid w:val="005E7C2C"/>
    <w:rsid w:val="005F36B6"/>
    <w:rsid w:val="00647734"/>
    <w:rsid w:val="00692E38"/>
    <w:rsid w:val="00694C70"/>
    <w:rsid w:val="006A2D33"/>
    <w:rsid w:val="006A6DDC"/>
    <w:rsid w:val="006B067A"/>
    <w:rsid w:val="006B6E2A"/>
    <w:rsid w:val="006F230B"/>
    <w:rsid w:val="00722418"/>
    <w:rsid w:val="00733DCB"/>
    <w:rsid w:val="00795C07"/>
    <w:rsid w:val="007D329C"/>
    <w:rsid w:val="0080565D"/>
    <w:rsid w:val="008112B1"/>
    <w:rsid w:val="008227AE"/>
    <w:rsid w:val="0087394B"/>
    <w:rsid w:val="008E264F"/>
    <w:rsid w:val="008F4635"/>
    <w:rsid w:val="00900B09"/>
    <w:rsid w:val="00906B61"/>
    <w:rsid w:val="00931863"/>
    <w:rsid w:val="00931F7E"/>
    <w:rsid w:val="00937062"/>
    <w:rsid w:val="0095041E"/>
    <w:rsid w:val="0095752E"/>
    <w:rsid w:val="00973FEC"/>
    <w:rsid w:val="009813ED"/>
    <w:rsid w:val="00987640"/>
    <w:rsid w:val="00A307E4"/>
    <w:rsid w:val="00A45CEE"/>
    <w:rsid w:val="00A56F5B"/>
    <w:rsid w:val="00A674D1"/>
    <w:rsid w:val="00AC73A8"/>
    <w:rsid w:val="00AD2A0E"/>
    <w:rsid w:val="00B119B1"/>
    <w:rsid w:val="00B158DF"/>
    <w:rsid w:val="00B17DD9"/>
    <w:rsid w:val="00B21779"/>
    <w:rsid w:val="00B907F3"/>
    <w:rsid w:val="00B94AA2"/>
    <w:rsid w:val="00BA5F1B"/>
    <w:rsid w:val="00BB4237"/>
    <w:rsid w:val="00BE7B61"/>
    <w:rsid w:val="00BF153D"/>
    <w:rsid w:val="00C256CF"/>
    <w:rsid w:val="00C50EFC"/>
    <w:rsid w:val="00C57622"/>
    <w:rsid w:val="00C97F2B"/>
    <w:rsid w:val="00CA5344"/>
    <w:rsid w:val="00CC5C8B"/>
    <w:rsid w:val="00CC6A03"/>
    <w:rsid w:val="00CF6377"/>
    <w:rsid w:val="00D13538"/>
    <w:rsid w:val="00D15C4D"/>
    <w:rsid w:val="00D72D57"/>
    <w:rsid w:val="00D77349"/>
    <w:rsid w:val="00D81D6A"/>
    <w:rsid w:val="00D82FF4"/>
    <w:rsid w:val="00DC04C1"/>
    <w:rsid w:val="00DD2196"/>
    <w:rsid w:val="00DF3EFF"/>
    <w:rsid w:val="00E839D0"/>
    <w:rsid w:val="00E951F8"/>
    <w:rsid w:val="00ED3820"/>
    <w:rsid w:val="00F13A4D"/>
    <w:rsid w:val="00F303C7"/>
    <w:rsid w:val="00F35207"/>
    <w:rsid w:val="00F60402"/>
    <w:rsid w:val="00F82E64"/>
    <w:rsid w:val="00F82FAE"/>
    <w:rsid w:val="00F8568C"/>
    <w:rsid w:val="00FB0AD2"/>
    <w:rsid w:val="00FB5DE9"/>
    <w:rsid w:val="00FC42A8"/>
    <w:rsid w:val="00FD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9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84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6E9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15C4D"/>
    <w:pPr>
      <w:spacing w:before="100" w:beforeAutospacing="1" w:after="100" w:afterAutospacing="1"/>
    </w:pPr>
  </w:style>
  <w:style w:type="character" w:customStyle="1" w:styleId="sm4">
    <w:name w:val="sm4"/>
    <w:basedOn w:val="a0"/>
    <w:rsid w:val="00AD2A0E"/>
    <w:rPr>
      <w:sz w:val="22"/>
      <w:szCs w:val="22"/>
    </w:rPr>
  </w:style>
  <w:style w:type="paragraph" w:styleId="a5">
    <w:name w:val="Plain Text"/>
    <w:basedOn w:val="a"/>
    <w:link w:val="a6"/>
    <w:uiPriority w:val="99"/>
    <w:semiHidden/>
    <w:unhideWhenUsed/>
    <w:rsid w:val="006A6DDC"/>
    <w:rPr>
      <w:rFonts w:ascii="Consolas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6A6DDC"/>
    <w:rPr>
      <w:rFonts w:ascii="Consolas" w:hAnsi="Consolas"/>
      <w:sz w:val="21"/>
      <w:szCs w:val="21"/>
    </w:rPr>
  </w:style>
  <w:style w:type="character" w:customStyle="1" w:styleId="usd3">
    <w:name w:val="usd3"/>
    <w:basedOn w:val="a0"/>
    <w:rsid w:val="00DF3EFF"/>
  </w:style>
  <w:style w:type="character" w:styleId="a7">
    <w:name w:val="Hyperlink"/>
    <w:basedOn w:val="a0"/>
    <w:uiPriority w:val="99"/>
    <w:unhideWhenUsed/>
    <w:rsid w:val="00DF3EFF"/>
    <w:rPr>
      <w:color w:val="0053A0"/>
      <w:u w:val="single"/>
    </w:rPr>
  </w:style>
  <w:style w:type="character" w:styleId="a8">
    <w:name w:val="Strong"/>
    <w:qFormat/>
    <w:rsid w:val="008F4635"/>
    <w:rPr>
      <w:b/>
      <w:bCs/>
    </w:rPr>
  </w:style>
  <w:style w:type="paragraph" w:customStyle="1" w:styleId="Default">
    <w:name w:val="Default"/>
    <w:rsid w:val="000902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902E7"/>
    <w:pPr>
      <w:spacing w:line="161" w:lineRule="atLeast"/>
    </w:pPr>
    <w:rPr>
      <w:color w:val="auto"/>
    </w:rPr>
  </w:style>
  <w:style w:type="paragraph" w:customStyle="1" w:styleId="a00">
    <w:name w:val="a0"/>
    <w:basedOn w:val="a"/>
    <w:rsid w:val="00B119B1"/>
    <w:pPr>
      <w:spacing w:after="80"/>
      <w:jc w:val="both"/>
    </w:pPr>
    <w:rPr>
      <w:rFonts w:ascii="Helvetica Neue" w:hAnsi="Helvetica Neue"/>
      <w:i/>
      <w:iCs/>
      <w:color w:val="000000"/>
      <w:sz w:val="22"/>
      <w:szCs w:val="22"/>
    </w:rPr>
  </w:style>
  <w:style w:type="paragraph" w:customStyle="1" w:styleId="default0">
    <w:name w:val="default"/>
    <w:basedOn w:val="a"/>
    <w:rsid w:val="00694C70"/>
    <w:pPr>
      <w:spacing w:before="100" w:beforeAutospacing="1" w:after="100" w:afterAutospacing="1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D3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cptxt">
    <w:name w:val="rcptxt"/>
    <w:basedOn w:val="a"/>
    <w:rsid w:val="007D329C"/>
    <w:pPr>
      <w:spacing w:before="100" w:beforeAutospacing="1" w:after="240"/>
      <w:jc w:val="both"/>
    </w:pPr>
    <w:rPr>
      <w:rFonts w:eastAsia="Times New Roman"/>
      <w:sz w:val="20"/>
      <w:szCs w:val="20"/>
    </w:rPr>
  </w:style>
  <w:style w:type="character" w:customStyle="1" w:styleId="commr">
    <w:name w:val="commr"/>
    <w:basedOn w:val="a0"/>
    <w:rsid w:val="00433377"/>
  </w:style>
  <w:style w:type="paragraph" w:styleId="a9">
    <w:name w:val="No Spacing"/>
    <w:basedOn w:val="a"/>
    <w:uiPriority w:val="1"/>
    <w:qFormat/>
    <w:rsid w:val="008227A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D135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538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ext19">
    <w:name w:val="text19"/>
    <w:basedOn w:val="a"/>
    <w:rsid w:val="00937062"/>
    <w:pPr>
      <w:spacing w:after="216" w:line="312" w:lineRule="auto"/>
    </w:pPr>
    <w:rPr>
      <w:rFonts w:ascii="Arial" w:hAnsi="Arial" w:cs="Arial"/>
      <w:sz w:val="18"/>
      <w:szCs w:val="18"/>
    </w:rPr>
  </w:style>
  <w:style w:type="table" w:styleId="ac">
    <w:name w:val="Table Grid"/>
    <w:basedOn w:val="a1"/>
    <w:rsid w:val="00BE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-mail Signature"/>
    <w:basedOn w:val="a"/>
    <w:link w:val="ae"/>
    <w:uiPriority w:val="99"/>
    <w:semiHidden/>
    <w:unhideWhenUsed/>
    <w:rsid w:val="005647D0"/>
  </w:style>
  <w:style w:type="character" w:customStyle="1" w:styleId="ae">
    <w:name w:val="Электронная подпись Знак"/>
    <w:basedOn w:val="a0"/>
    <w:link w:val="ad"/>
    <w:uiPriority w:val="99"/>
    <w:semiHidden/>
    <w:rsid w:val="005647D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951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217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42264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7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38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2395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5353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381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2861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21465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86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9601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3608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sepishkina</dc:creator>
  <cp:keywords/>
  <dc:description/>
  <cp:lastModifiedBy>sepishkina</cp:lastModifiedBy>
  <cp:revision>45</cp:revision>
  <cp:lastPrinted>2011-12-30T11:18:00Z</cp:lastPrinted>
  <dcterms:created xsi:type="dcterms:W3CDTF">2011-11-21T06:50:00Z</dcterms:created>
  <dcterms:modified xsi:type="dcterms:W3CDTF">2012-01-23T08:03:00Z</dcterms:modified>
</cp:coreProperties>
</file>