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r>
        <w:rPr>
          <w:rFonts w:ascii="Calibri" w:hAnsi="Calibri"/>
          <w:b/>
          <w:bCs/>
          <w:color w:val="FF0000"/>
        </w:rPr>
        <w:t>По глобальным рынкам:</w:t>
      </w:r>
    </w:p>
    <w:p w:rsidR="00921004" w:rsidRDefault="00921004" w:rsidP="00921004">
      <w:pPr>
        <w:spacing w:before="120" w:after="120"/>
        <w:jc w:val="both"/>
      </w:pPr>
      <w:r>
        <w:rPr>
          <w:rFonts w:ascii="Calibri" w:hAnsi="Calibri"/>
        </w:rPr>
        <w:t xml:space="preserve">За прошедшую неделю основные фондовые индексы продолжили умеренный рост </w:t>
      </w:r>
      <w:proofErr w:type="gramStart"/>
      <w:r>
        <w:rPr>
          <w:rFonts w:ascii="Calibri" w:hAnsi="Calibri"/>
        </w:rPr>
        <w:t>на</w:t>
      </w:r>
      <w:proofErr w:type="gramEnd"/>
      <w:r>
        <w:rPr>
          <w:rFonts w:ascii="Calibri" w:hAnsi="Calibri"/>
        </w:rPr>
        <w:t xml:space="preserve"> </w:t>
      </w:r>
      <w:proofErr w:type="gramStart"/>
      <w:r>
        <w:rPr>
          <w:rFonts w:ascii="Calibri" w:hAnsi="Calibri"/>
        </w:rPr>
        <w:t>снижающейся</w:t>
      </w:r>
      <w:proofErr w:type="gramEnd"/>
      <w:r>
        <w:rPr>
          <w:rFonts w:ascii="Calibri" w:hAnsi="Calibri"/>
        </w:rPr>
        <w:t xml:space="preserve"> </w:t>
      </w:r>
      <w:proofErr w:type="spellStart"/>
      <w:r>
        <w:rPr>
          <w:rFonts w:ascii="Calibri" w:hAnsi="Calibri"/>
        </w:rPr>
        <w:t>волатильности</w:t>
      </w:r>
      <w:proofErr w:type="spellEnd"/>
      <w:r>
        <w:rPr>
          <w:rFonts w:ascii="Calibri" w:hAnsi="Calibri"/>
        </w:rPr>
        <w:t xml:space="preserve">, что технически создаёт предпосылки для сохранения восходящего тренда.  Индекс подразумеваемой </w:t>
      </w:r>
      <w:proofErr w:type="spellStart"/>
      <w:r>
        <w:rPr>
          <w:rFonts w:ascii="Calibri" w:hAnsi="Calibri"/>
        </w:rPr>
        <w:t>волатильности</w:t>
      </w:r>
      <w:proofErr w:type="spellEnd"/>
      <w:r>
        <w:rPr>
          <w:rFonts w:ascii="Calibri" w:hAnsi="Calibri"/>
        </w:rPr>
        <w:t xml:space="preserve"> в опционах VIX на этой неделе обновил локальные минимумы с начала II квартала, достигнув значения 13.67. Таким образом, участники рынка в настоящий момент закладываются на достаточно низкую вероятность реализации каких-то негативных сценариев. </w:t>
      </w:r>
    </w:p>
    <w:p w:rsidR="00921004" w:rsidRDefault="00921004" w:rsidP="00921004">
      <w:pPr>
        <w:spacing w:before="120" w:after="120"/>
        <w:jc w:val="both"/>
      </w:pPr>
      <w:r>
        <w:rPr>
          <w:rFonts w:ascii="Calibri" w:hAnsi="Calibri"/>
        </w:rPr>
        <w:t xml:space="preserve">Макроэкономическая статистика в настоящий момент также показывает позитивную динамику. Данные по промышленному производству в США, вышедшие на этой неделе, показали его рост за прошедший месяц на 0.6%, что лучше как предыдущего значения, так и ожиданий. Количество новых разрешений на строительство выросло до 812 тыс., </w:t>
      </w:r>
      <w:proofErr w:type="gramStart"/>
      <w:r>
        <w:rPr>
          <w:rFonts w:ascii="Calibri" w:hAnsi="Calibri"/>
        </w:rPr>
        <w:t>притом</w:t>
      </w:r>
      <w:proofErr w:type="gramEnd"/>
      <w:r>
        <w:rPr>
          <w:rFonts w:ascii="Calibri" w:hAnsi="Calibri"/>
        </w:rPr>
        <w:t xml:space="preserve"> что по разным оценкам прогнозировалось значение в пределах 695 - 805 тыс. Число первичных заявок по безработице увеличилось всего на 2 тыс. - до 366 тыс. при ожиданиях  365 тыс., но при этом скользящая средняя по ним за последние четыре недели опустилась до 363.75 тыс., что является минимум с 31 марта. </w:t>
      </w: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r>
        <w:rPr>
          <w:rFonts w:ascii="Calibri" w:hAnsi="Calibri"/>
          <w:b/>
          <w:bCs/>
          <w:color w:val="FF0000"/>
        </w:rPr>
        <w:t>По сырью:</w:t>
      </w:r>
    </w:p>
    <w:p w:rsidR="00921004" w:rsidRDefault="00921004" w:rsidP="00921004">
      <w:pPr>
        <w:spacing w:before="120" w:after="120"/>
        <w:jc w:val="both"/>
      </w:pPr>
      <w:r>
        <w:rPr>
          <w:rFonts w:ascii="Calibri" w:hAnsi="Calibri"/>
        </w:rPr>
        <w:t xml:space="preserve">В центре внимания инвесторов продолжает находиться «черное золото», за неделю смесь </w:t>
      </w:r>
      <w:proofErr w:type="spellStart"/>
      <w:r>
        <w:rPr>
          <w:rFonts w:ascii="Calibri" w:hAnsi="Calibri"/>
        </w:rPr>
        <w:t>Brent</w:t>
      </w:r>
      <w:proofErr w:type="spellEnd"/>
      <w:r>
        <w:rPr>
          <w:rFonts w:ascii="Calibri" w:hAnsi="Calibri"/>
        </w:rPr>
        <w:t xml:space="preserve"> прибавила 3.50% к своей стоимости, консолидировавшись в конце недели в районе отметки 114 $/</w:t>
      </w:r>
      <w:proofErr w:type="spellStart"/>
      <w:r>
        <w:rPr>
          <w:rFonts w:ascii="Calibri" w:hAnsi="Calibri"/>
        </w:rPr>
        <w:t>барр</w:t>
      </w:r>
      <w:proofErr w:type="spellEnd"/>
      <w:r>
        <w:rPr>
          <w:rFonts w:ascii="Calibri" w:hAnsi="Calibri"/>
        </w:rPr>
        <w:t xml:space="preserve">. В целом, хорошее самочувствие столь важному сырью обеспечивал целый ряд факторов – это и сокращение запасов, вновь просыпающийся «израильско-иранский» фактор, ожидания рынками новых мер стимулирования со стороны мировых </w:t>
      </w:r>
      <w:proofErr w:type="spellStart"/>
      <w:r>
        <w:rPr>
          <w:rFonts w:ascii="Calibri" w:hAnsi="Calibri"/>
        </w:rPr>
        <w:t>центробанков</w:t>
      </w:r>
      <w:proofErr w:type="spellEnd"/>
      <w:r>
        <w:rPr>
          <w:rFonts w:ascii="Calibri" w:hAnsi="Calibri"/>
        </w:rPr>
        <w:t xml:space="preserve">. Наибольший позитив в нефтяных котировках произошел в среду вечером после публикации Минэнерго США данных по  запасам нефти, которые снизились сильнее прогнозов аналитиков, сырье получило импульс к росту (стоимость смеси </w:t>
      </w:r>
      <w:r>
        <w:rPr>
          <w:rFonts w:ascii="Calibri" w:hAnsi="Calibri"/>
          <w:lang w:val="en-US"/>
        </w:rPr>
        <w:t>Brent</w:t>
      </w:r>
      <w:r w:rsidRPr="00921004">
        <w:rPr>
          <w:rFonts w:ascii="Calibri" w:hAnsi="Calibri"/>
        </w:rPr>
        <w:t xml:space="preserve"> </w:t>
      </w:r>
      <w:r>
        <w:rPr>
          <w:rFonts w:ascii="Calibri" w:hAnsi="Calibri"/>
        </w:rPr>
        <w:t>в моменте даже перешагивала через отметку в 116.5 $/</w:t>
      </w:r>
      <w:proofErr w:type="spellStart"/>
      <w:r>
        <w:rPr>
          <w:rFonts w:ascii="Calibri" w:hAnsi="Calibri"/>
        </w:rPr>
        <w:t>барр</w:t>
      </w:r>
      <w:proofErr w:type="spellEnd"/>
      <w:r>
        <w:rPr>
          <w:rFonts w:ascii="Calibri" w:hAnsi="Calibri"/>
        </w:rPr>
        <w:t>.). Однако нефть очень быстро отыграла данную спекулятивную новость и вновь вернулась</w:t>
      </w:r>
      <w:r w:rsidR="00D113D3">
        <w:rPr>
          <w:rFonts w:ascii="Calibri" w:hAnsi="Calibri"/>
        </w:rPr>
        <w:t xml:space="preserve"> в интервал 114.0-114.5 $/</w:t>
      </w:r>
      <w:proofErr w:type="spellStart"/>
      <w:r w:rsidR="00D113D3">
        <w:rPr>
          <w:rFonts w:ascii="Calibri" w:hAnsi="Calibri"/>
        </w:rPr>
        <w:t>барр</w:t>
      </w:r>
      <w:proofErr w:type="spellEnd"/>
      <w:r w:rsidR="00D113D3">
        <w:rPr>
          <w:rFonts w:ascii="Calibri" w:hAnsi="Calibri"/>
        </w:rPr>
        <w:t xml:space="preserve">. </w:t>
      </w:r>
      <w:proofErr w:type="gramStart"/>
      <w:r>
        <w:rPr>
          <w:rFonts w:ascii="Calibri" w:hAnsi="Calibri"/>
        </w:rPr>
        <w:t>П</w:t>
      </w:r>
      <w:proofErr w:type="gramEnd"/>
      <w:r>
        <w:rPr>
          <w:rFonts w:ascii="Calibri" w:hAnsi="Calibri"/>
        </w:rPr>
        <w:t>ерспективы для продолжения положительной динамики у основного двигателя рубля сохраняются по-прежнему.</w:t>
      </w:r>
    </w:p>
    <w:p w:rsidR="00921004" w:rsidRDefault="00921004" w:rsidP="00921004">
      <w:pPr>
        <w:spacing w:before="120" w:after="120"/>
        <w:jc w:val="both"/>
      </w:pPr>
      <w:r>
        <w:rPr>
          <w:rFonts w:ascii="Calibri" w:hAnsi="Calibri"/>
        </w:rPr>
        <w:t xml:space="preserve">Что касается золота, то за прошедшую неделю цены на него практически не изменились – тройская унция «жёлтого металла» лишь символически снизилась на 0.25% - до $1616. При этом основным фактором, влияющим на цены, по-прежнему остаётся возможный запуск программы стимулирования экономки ФРС США, а, соответственно, и </w:t>
      </w:r>
      <w:proofErr w:type="spellStart"/>
      <w:r>
        <w:rPr>
          <w:rFonts w:ascii="Calibri" w:hAnsi="Calibri"/>
        </w:rPr>
        <w:t>макростатистика</w:t>
      </w:r>
      <w:proofErr w:type="spellEnd"/>
      <w:r>
        <w:rPr>
          <w:rFonts w:ascii="Calibri" w:hAnsi="Calibri"/>
        </w:rPr>
        <w:t>, которая может давать к этому предпосылки. В ближайшей перспективе мы, вероятнее всего, будем видеть продолжение такой боковой динамики. Что касается остальных цветных металлов, то наилучшую динамику мы наблюдали по платине (+3.97%), второе место отдаем  палладию с его 1.30%, серебро показало довольно скромный результат (0.37%). Менее благородные металлы, в т.ч. алюминий (-3.05%) и Медь (-1.13%), чувствовали себя куда хуже.</w:t>
      </w: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1F497D"/>
        </w:rPr>
      </w:pPr>
      <w:r>
        <w:rPr>
          <w:rFonts w:ascii="Calibri" w:hAnsi="Calibri"/>
          <w:b/>
          <w:bCs/>
          <w:color w:val="FF0000"/>
        </w:rPr>
        <w:t>По развивающимся рынкам:</w:t>
      </w:r>
    </w:p>
    <w:p w:rsidR="00921004" w:rsidRDefault="00921004" w:rsidP="00921004">
      <w:pPr>
        <w:spacing w:before="120" w:after="120"/>
        <w:jc w:val="both"/>
      </w:pPr>
      <w:r>
        <w:rPr>
          <w:rFonts w:ascii="Calibri" w:hAnsi="Calibri"/>
        </w:rPr>
        <w:t xml:space="preserve">Динамика валютных рынков развивающихся стран на этой неделе является зеркальным отражением прошлой. Если </w:t>
      </w:r>
      <w:proofErr w:type="gramStart"/>
      <w:r>
        <w:rPr>
          <w:rFonts w:ascii="Calibri" w:hAnsi="Calibri"/>
        </w:rPr>
        <w:t>на</w:t>
      </w:r>
      <w:proofErr w:type="gramEnd"/>
      <w:r>
        <w:rPr>
          <w:rFonts w:ascii="Calibri" w:hAnsi="Calibri"/>
        </w:rPr>
        <w:t xml:space="preserve"> </w:t>
      </w:r>
      <w:proofErr w:type="gramStart"/>
      <w:r>
        <w:rPr>
          <w:rFonts w:ascii="Calibri" w:hAnsi="Calibri"/>
        </w:rPr>
        <w:t>прошлой</w:t>
      </w:r>
      <w:proofErr w:type="gramEnd"/>
      <w:r>
        <w:rPr>
          <w:rFonts w:ascii="Calibri" w:hAnsi="Calibri"/>
        </w:rPr>
        <w:t xml:space="preserve"> в аутсайдерах были преимущественно валюты Восточной Европы, то на этой они в лидерах роста, однако в целом на </w:t>
      </w:r>
      <w:proofErr w:type="spellStart"/>
      <w:r w:rsidR="00D113D3">
        <w:rPr>
          <w:rFonts w:ascii="Calibri" w:hAnsi="Calibri"/>
        </w:rPr>
        <w:t>Emerging</w:t>
      </w:r>
      <w:proofErr w:type="spellEnd"/>
      <w:r w:rsidR="00D113D3">
        <w:rPr>
          <w:rFonts w:ascii="Calibri" w:hAnsi="Calibri"/>
        </w:rPr>
        <w:t xml:space="preserve"> </w:t>
      </w:r>
      <w:proofErr w:type="spellStart"/>
      <w:r w:rsidR="00D113D3">
        <w:rPr>
          <w:rFonts w:ascii="Calibri" w:hAnsi="Calibri"/>
        </w:rPr>
        <w:t>Markets</w:t>
      </w:r>
      <w:proofErr w:type="spellEnd"/>
      <w:r w:rsidR="00D113D3">
        <w:rPr>
          <w:rFonts w:ascii="Calibri" w:hAnsi="Calibri"/>
        </w:rPr>
        <w:t xml:space="preserve"> </w:t>
      </w:r>
      <w:r>
        <w:rPr>
          <w:rFonts w:ascii="Calibri" w:hAnsi="Calibri"/>
        </w:rPr>
        <w:t xml:space="preserve">наблюдалось падение валют относительно американского доллара. </w:t>
      </w:r>
      <w:proofErr w:type="gramStart"/>
      <w:r>
        <w:rPr>
          <w:rFonts w:ascii="Calibri" w:hAnsi="Calibri"/>
        </w:rPr>
        <w:t>Существенный рост на этой неделе, как и на прошлой, смог показать только румынский лей (+1.63%), продолжающий укрепления на ожиданиях увеличения ставки рефинансирования центральным банком.</w:t>
      </w:r>
      <w:proofErr w:type="gramEnd"/>
      <w:r>
        <w:rPr>
          <w:rFonts w:ascii="Calibri" w:hAnsi="Calibri"/>
        </w:rPr>
        <w:t xml:space="preserve"> В аутсайдерах - латиноамериканские валюты и южноафриканский ранд, потерявший за неделю 2.68%. На замедлении </w:t>
      </w:r>
      <w:proofErr w:type="spellStart"/>
      <w:r>
        <w:rPr>
          <w:rFonts w:ascii="Calibri" w:hAnsi="Calibri"/>
        </w:rPr>
        <w:t>промпроизводства</w:t>
      </w:r>
      <w:proofErr w:type="spellEnd"/>
      <w:r>
        <w:rPr>
          <w:rFonts w:ascii="Calibri" w:hAnsi="Calibri"/>
        </w:rPr>
        <w:t xml:space="preserve"> в ЮАР ожидают продолжения действий по смягчению денежно-кредитной политики, что оказывает давление на местную валюту.</w:t>
      </w: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1F497D"/>
        </w:rPr>
      </w:pPr>
      <w:r>
        <w:rPr>
          <w:rFonts w:ascii="Calibri" w:hAnsi="Calibri"/>
          <w:b/>
          <w:bCs/>
          <w:color w:val="FF0000"/>
        </w:rPr>
        <w:t>По акциям:</w:t>
      </w:r>
    </w:p>
    <w:p w:rsidR="00921004" w:rsidRDefault="00921004" w:rsidP="00921004">
      <w:pPr>
        <w:spacing w:before="120" w:after="120"/>
        <w:jc w:val="both"/>
      </w:pPr>
      <w:r>
        <w:rPr>
          <w:rFonts w:ascii="Calibri" w:hAnsi="Calibri"/>
        </w:rPr>
        <w:t xml:space="preserve">После роста начала августа российский фондовый рынок на прошедшей неделе консолидировался на достигнутых уровнях. Сил для дальнейшего роста пока нет (мы уже достигли уровней апреля - максимумов этого года), причин для падения пока также не наблюдается.  Итог – </w:t>
      </w:r>
      <w:r w:rsidR="00D113D3">
        <w:rPr>
          <w:rFonts w:ascii="Calibri" w:hAnsi="Calibri"/>
        </w:rPr>
        <w:t>«</w:t>
      </w:r>
      <w:r>
        <w:rPr>
          <w:rFonts w:ascii="Calibri" w:hAnsi="Calibri"/>
        </w:rPr>
        <w:t>боковик</w:t>
      </w:r>
      <w:r w:rsidR="00D113D3">
        <w:rPr>
          <w:rFonts w:ascii="Calibri" w:hAnsi="Calibri"/>
        </w:rPr>
        <w:t>»</w:t>
      </w:r>
      <w:r>
        <w:rPr>
          <w:rFonts w:ascii="Calibri" w:hAnsi="Calibri"/>
        </w:rPr>
        <w:t xml:space="preserve"> в районе 1440-1460 пунктов по индексу ММВБ.</w:t>
      </w:r>
    </w:p>
    <w:p w:rsidR="00921004" w:rsidRDefault="00921004" w:rsidP="00921004">
      <w:pPr>
        <w:spacing w:before="120" w:after="120"/>
        <w:jc w:val="both"/>
      </w:pPr>
      <w:r>
        <w:rPr>
          <w:rFonts w:ascii="Calibri" w:hAnsi="Calibri"/>
        </w:rPr>
        <w:t xml:space="preserve">Из событий прошедшей недели на российском рынке выделим выходившие отчётности компаний за </w:t>
      </w:r>
      <w:r>
        <w:rPr>
          <w:rFonts w:ascii="Calibri" w:hAnsi="Calibri"/>
          <w:lang w:val="en-US"/>
        </w:rPr>
        <w:t>I</w:t>
      </w:r>
      <w:r w:rsidRPr="00921004">
        <w:rPr>
          <w:rFonts w:ascii="Calibri" w:hAnsi="Calibri"/>
        </w:rPr>
        <w:t xml:space="preserve"> </w:t>
      </w:r>
      <w:r>
        <w:rPr>
          <w:rFonts w:ascii="Calibri" w:hAnsi="Calibri"/>
        </w:rPr>
        <w:t xml:space="preserve">полугодие по РСБУ – отчитались Газпром, НОВАТЭК, ТНК-ВР, </w:t>
      </w:r>
      <w:proofErr w:type="spellStart"/>
      <w:r>
        <w:rPr>
          <w:rFonts w:ascii="Calibri" w:hAnsi="Calibri"/>
        </w:rPr>
        <w:t>Татнефть</w:t>
      </w:r>
      <w:proofErr w:type="spellEnd"/>
      <w:r>
        <w:rPr>
          <w:rFonts w:ascii="Calibri" w:hAnsi="Calibri"/>
        </w:rPr>
        <w:t xml:space="preserve">, </w:t>
      </w:r>
      <w:proofErr w:type="spellStart"/>
      <w:r>
        <w:rPr>
          <w:rFonts w:ascii="Calibri" w:hAnsi="Calibri"/>
        </w:rPr>
        <w:t>Транснефть</w:t>
      </w:r>
      <w:proofErr w:type="spellEnd"/>
      <w:r>
        <w:rPr>
          <w:rFonts w:ascii="Calibri" w:hAnsi="Calibri"/>
        </w:rPr>
        <w:t xml:space="preserve">, </w:t>
      </w:r>
      <w:proofErr w:type="spellStart"/>
      <w:r>
        <w:rPr>
          <w:rFonts w:ascii="Calibri" w:hAnsi="Calibri"/>
        </w:rPr>
        <w:t>Автоваз</w:t>
      </w:r>
      <w:proofErr w:type="spellEnd"/>
      <w:r>
        <w:rPr>
          <w:rFonts w:ascii="Calibri" w:hAnsi="Calibri"/>
        </w:rPr>
        <w:t xml:space="preserve">, КАМАЗ, </w:t>
      </w:r>
      <w:proofErr w:type="spellStart"/>
      <w:r>
        <w:rPr>
          <w:rFonts w:ascii="Calibri" w:hAnsi="Calibri"/>
        </w:rPr>
        <w:t>Ростелеком</w:t>
      </w:r>
      <w:proofErr w:type="spellEnd"/>
      <w:r>
        <w:rPr>
          <w:rFonts w:ascii="Calibri" w:hAnsi="Calibri"/>
        </w:rPr>
        <w:t xml:space="preserve"> и многие другие. Большинство отчётностей носили ожидаемо умеренно-негативный характер: 2-й квартал был достаточно сложным для деятельности компаний. Так, на представителях нефтегазового сектора негативно сказались низкие цены на нефть, что вкупе с возросшей налоговой нагрузкой негативно отразилось на результатах по чистой прибыли. К примеру, чистая прибыль Газпрома снизилась на 22% г/г - до 381.6 </w:t>
      </w:r>
      <w:proofErr w:type="spellStart"/>
      <w:proofErr w:type="gramStart"/>
      <w:r>
        <w:rPr>
          <w:rFonts w:ascii="Calibri" w:hAnsi="Calibri"/>
        </w:rPr>
        <w:t>млрд</w:t>
      </w:r>
      <w:proofErr w:type="spellEnd"/>
      <w:proofErr w:type="gramEnd"/>
      <w:r>
        <w:rPr>
          <w:rFonts w:ascii="Calibri" w:hAnsi="Calibri"/>
        </w:rPr>
        <w:t xml:space="preserve"> руб., </w:t>
      </w:r>
      <w:proofErr w:type="spellStart"/>
      <w:r>
        <w:rPr>
          <w:rFonts w:ascii="Calibri" w:hAnsi="Calibri"/>
        </w:rPr>
        <w:t>НОВАТЭКа</w:t>
      </w:r>
      <w:proofErr w:type="spellEnd"/>
      <w:r>
        <w:rPr>
          <w:rFonts w:ascii="Calibri" w:hAnsi="Calibri"/>
        </w:rPr>
        <w:t xml:space="preserve"> на 22% г/г - до 21.28 </w:t>
      </w:r>
      <w:proofErr w:type="spellStart"/>
      <w:r>
        <w:rPr>
          <w:rFonts w:ascii="Calibri" w:hAnsi="Calibri"/>
        </w:rPr>
        <w:t>млрд</w:t>
      </w:r>
      <w:proofErr w:type="spellEnd"/>
      <w:r>
        <w:rPr>
          <w:rFonts w:ascii="Calibri" w:hAnsi="Calibri"/>
        </w:rPr>
        <w:t xml:space="preserve"> руб., </w:t>
      </w:r>
      <w:proofErr w:type="spellStart"/>
      <w:r>
        <w:rPr>
          <w:rFonts w:ascii="Calibri" w:hAnsi="Calibri"/>
        </w:rPr>
        <w:t>Татнефти</w:t>
      </w:r>
      <w:proofErr w:type="spellEnd"/>
      <w:r>
        <w:rPr>
          <w:rFonts w:ascii="Calibri" w:hAnsi="Calibri"/>
        </w:rPr>
        <w:t xml:space="preserve"> на 17% - до 30.1 </w:t>
      </w:r>
      <w:proofErr w:type="spellStart"/>
      <w:r>
        <w:rPr>
          <w:rFonts w:ascii="Calibri" w:hAnsi="Calibri"/>
        </w:rPr>
        <w:t>млрд</w:t>
      </w:r>
      <w:proofErr w:type="spellEnd"/>
      <w:r>
        <w:rPr>
          <w:rFonts w:ascii="Calibri" w:hAnsi="Calibri"/>
        </w:rPr>
        <w:t xml:space="preserve"> руб. Насторожила отчётность </w:t>
      </w:r>
      <w:proofErr w:type="spellStart"/>
      <w:r>
        <w:rPr>
          <w:rFonts w:ascii="Calibri" w:hAnsi="Calibri"/>
        </w:rPr>
        <w:t>АВТОВАЗа</w:t>
      </w:r>
      <w:proofErr w:type="spellEnd"/>
      <w:r>
        <w:rPr>
          <w:rFonts w:ascii="Calibri" w:hAnsi="Calibri"/>
        </w:rPr>
        <w:t xml:space="preserve">, в </w:t>
      </w:r>
      <w:r>
        <w:rPr>
          <w:rFonts w:ascii="Calibri" w:hAnsi="Calibri"/>
          <w:lang w:val="en-US"/>
        </w:rPr>
        <w:t>I</w:t>
      </w:r>
      <w:r>
        <w:rPr>
          <w:rFonts w:ascii="Calibri" w:hAnsi="Calibri"/>
        </w:rPr>
        <w:t xml:space="preserve"> полугодии 2012 г. получившего 469 </w:t>
      </w:r>
      <w:proofErr w:type="spellStart"/>
      <w:r>
        <w:rPr>
          <w:rFonts w:ascii="Calibri" w:hAnsi="Calibri"/>
        </w:rPr>
        <w:t>млн</w:t>
      </w:r>
      <w:proofErr w:type="spellEnd"/>
      <w:r>
        <w:rPr>
          <w:rFonts w:ascii="Calibri" w:hAnsi="Calibri"/>
        </w:rPr>
        <w:t xml:space="preserve"> руб. убытка по РСБУ против прибыли в 2 </w:t>
      </w:r>
      <w:proofErr w:type="spellStart"/>
      <w:r>
        <w:rPr>
          <w:rFonts w:ascii="Calibri" w:hAnsi="Calibri"/>
        </w:rPr>
        <w:t>млрд</w:t>
      </w:r>
      <w:proofErr w:type="spellEnd"/>
      <w:r>
        <w:rPr>
          <w:rFonts w:ascii="Calibri" w:hAnsi="Calibri"/>
        </w:rPr>
        <w:t xml:space="preserve"> руб. годом ранее, продажи автогиганта продолжают падать. Из позитивных отчётностей отметим </w:t>
      </w:r>
      <w:proofErr w:type="spellStart"/>
      <w:r>
        <w:rPr>
          <w:rFonts w:ascii="Calibri" w:hAnsi="Calibri"/>
        </w:rPr>
        <w:t>Транснефть</w:t>
      </w:r>
      <w:proofErr w:type="spellEnd"/>
      <w:r>
        <w:rPr>
          <w:rFonts w:ascii="Calibri" w:hAnsi="Calibri"/>
        </w:rPr>
        <w:t xml:space="preserve">, увеличившую в </w:t>
      </w:r>
      <w:r>
        <w:rPr>
          <w:rFonts w:ascii="Calibri" w:hAnsi="Calibri"/>
          <w:lang w:val="en-US"/>
        </w:rPr>
        <w:t>I</w:t>
      </w:r>
      <w:r>
        <w:rPr>
          <w:rFonts w:ascii="Calibri" w:hAnsi="Calibri"/>
        </w:rPr>
        <w:t xml:space="preserve"> полугодии чистую прибыль по РСБУ в 2 раза - до 5.03 </w:t>
      </w:r>
      <w:proofErr w:type="spellStart"/>
      <w:proofErr w:type="gramStart"/>
      <w:r>
        <w:rPr>
          <w:rFonts w:ascii="Calibri" w:hAnsi="Calibri"/>
        </w:rPr>
        <w:t>млрд</w:t>
      </w:r>
      <w:proofErr w:type="spellEnd"/>
      <w:proofErr w:type="gramEnd"/>
      <w:r>
        <w:rPr>
          <w:rFonts w:ascii="Calibri" w:hAnsi="Calibri"/>
        </w:rPr>
        <w:t xml:space="preserve"> руб., при этом рост доходов обгонял рост расходов, акционеры компании могут рассчитывать на щедрые дивиденды.</w:t>
      </w:r>
    </w:p>
    <w:p w:rsidR="00921004" w:rsidRDefault="00921004" w:rsidP="00921004">
      <w:pPr>
        <w:spacing w:before="120" w:after="120"/>
        <w:jc w:val="both"/>
      </w:pPr>
      <w:r>
        <w:rPr>
          <w:rFonts w:ascii="Calibri" w:hAnsi="Calibri"/>
        </w:rPr>
        <w:t xml:space="preserve">Из событий будущей недели отметим отчётность Банка Возрождение за </w:t>
      </w:r>
      <w:r>
        <w:rPr>
          <w:rFonts w:ascii="Calibri" w:hAnsi="Calibri"/>
          <w:lang w:val="en-US"/>
        </w:rPr>
        <w:t>I</w:t>
      </w:r>
      <w:r>
        <w:rPr>
          <w:rFonts w:ascii="Calibri" w:hAnsi="Calibri"/>
        </w:rPr>
        <w:t xml:space="preserve"> полугодие 2012 г. по МСФО и  </w:t>
      </w:r>
      <w:proofErr w:type="spellStart"/>
      <w:r w:rsidR="00D113D3">
        <w:rPr>
          <w:rFonts w:ascii="Calibri" w:hAnsi="Calibri"/>
        </w:rPr>
        <w:t>ЛУКОЙЛ</w:t>
      </w:r>
      <w:r>
        <w:rPr>
          <w:rFonts w:ascii="Calibri" w:hAnsi="Calibri"/>
        </w:rPr>
        <w:t>а</w:t>
      </w:r>
      <w:proofErr w:type="spellEnd"/>
      <w:r>
        <w:rPr>
          <w:rFonts w:ascii="Calibri" w:hAnsi="Calibri"/>
        </w:rPr>
        <w:t xml:space="preserve"> по US GAAP. Кроме того, у </w:t>
      </w:r>
      <w:proofErr w:type="spellStart"/>
      <w:r>
        <w:rPr>
          <w:rFonts w:ascii="Calibri" w:hAnsi="Calibri"/>
        </w:rPr>
        <w:t>Ростелекома</w:t>
      </w:r>
      <w:proofErr w:type="spellEnd"/>
      <w:r>
        <w:rPr>
          <w:rFonts w:ascii="Calibri" w:hAnsi="Calibri"/>
        </w:rPr>
        <w:t xml:space="preserve"> пройдёт Совет Директоров, а 22 августа закроется реестр акционеров </w:t>
      </w:r>
      <w:proofErr w:type="spellStart"/>
      <w:r>
        <w:rPr>
          <w:rFonts w:ascii="Calibri" w:hAnsi="Calibri"/>
        </w:rPr>
        <w:t>Фосагро</w:t>
      </w:r>
      <w:proofErr w:type="spellEnd"/>
      <w:r>
        <w:rPr>
          <w:rFonts w:ascii="Calibri" w:hAnsi="Calibri"/>
        </w:rPr>
        <w:t xml:space="preserve"> (дивиденды за </w:t>
      </w:r>
      <w:r>
        <w:rPr>
          <w:rFonts w:ascii="Calibri" w:hAnsi="Calibri"/>
          <w:lang w:val="en-US"/>
        </w:rPr>
        <w:t>I</w:t>
      </w:r>
      <w:r w:rsidRPr="00921004">
        <w:rPr>
          <w:rFonts w:ascii="Calibri" w:hAnsi="Calibri"/>
        </w:rPr>
        <w:t xml:space="preserve"> </w:t>
      </w:r>
      <w:r>
        <w:rPr>
          <w:rFonts w:ascii="Calibri" w:hAnsi="Calibri"/>
        </w:rPr>
        <w:t>полугодие составят 38 руб. за акцию). 22 августа Россия станет официальной участницей ВТО. Последствия этого пока сложно предсказать, первый шаг который сделает Россия – с 1 сентября снизит экспортные цены на никель и медь (может негативно сказаться на ГМК Норильский Никель).</w:t>
      </w: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FF0000"/>
        </w:rPr>
      </w:pPr>
    </w:p>
    <w:p w:rsidR="00921004" w:rsidRDefault="00921004" w:rsidP="00921004">
      <w:pPr>
        <w:spacing w:after="200"/>
        <w:rPr>
          <w:rFonts w:ascii="Calibri" w:hAnsi="Calibri"/>
          <w:b/>
          <w:bCs/>
          <w:color w:val="1F497D"/>
        </w:rPr>
      </w:pPr>
      <w:r>
        <w:rPr>
          <w:rFonts w:ascii="Calibri" w:hAnsi="Calibri"/>
          <w:b/>
          <w:bCs/>
          <w:color w:val="FF0000"/>
        </w:rPr>
        <w:t>По бондам:</w:t>
      </w:r>
      <w:r>
        <w:rPr>
          <w:rFonts w:ascii="Calibri" w:hAnsi="Calibri"/>
          <w:b/>
          <w:bCs/>
          <w:color w:val="000080"/>
        </w:rPr>
        <w:t xml:space="preserve"> </w:t>
      </w:r>
    </w:p>
    <w:p w:rsidR="00921004" w:rsidRDefault="00921004" w:rsidP="00921004">
      <w:pPr>
        <w:spacing w:before="120" w:after="120"/>
        <w:jc w:val="both"/>
      </w:pPr>
      <w:r>
        <w:rPr>
          <w:rFonts w:ascii="Calibri" w:hAnsi="Calibri"/>
        </w:rPr>
        <w:t xml:space="preserve">Корпоративный рублевые облигации на неделе не продемонстрировали нам ярко-выраженной динамики, вторичный рынок вел себя довольно вяло, превалировала боковая динамика. Во многом над рынком продолжает довлеть фактор отпускного периода, что сильно снижает рыночную активность. </w:t>
      </w:r>
      <w:proofErr w:type="gramStart"/>
      <w:r>
        <w:rPr>
          <w:rFonts w:ascii="Calibri" w:hAnsi="Calibri"/>
        </w:rPr>
        <w:t>В дополнение к вышесказанному на неделе с авансовых платежей по акцизам</w:t>
      </w:r>
      <w:proofErr w:type="gramEnd"/>
      <w:r>
        <w:rPr>
          <w:rFonts w:ascii="Calibri" w:hAnsi="Calibri"/>
        </w:rPr>
        <w:t xml:space="preserve"> и страховых взносов (среда) стартовал очередной налоговый период, который до конца месяца будет оказывать дополнительное давление на рынок рублевого долга и, напротив, поддерживать рубль, повышая спрос на ликвидность. Налоговый период усилит свое влияние ближе к концу месяца, где график самих по себе более увесистых выплат будет уплотненным: 20 августа – НДС; 27 августа – НДПИ за июль 2012 г. и акцизы; 28 августа – налог на прибыль. Пока же первые выплаты не оказали негативного влияния на банковскую ликвидность, совокупный объем которой в пятницу даже сумел перевалить через триллионную планку, составив в итоге 1085 </w:t>
      </w:r>
      <w:proofErr w:type="spellStart"/>
      <w:proofErr w:type="gramStart"/>
      <w:r>
        <w:rPr>
          <w:rFonts w:ascii="Calibri" w:hAnsi="Calibri"/>
        </w:rPr>
        <w:t>млрд</w:t>
      </w:r>
      <w:proofErr w:type="spellEnd"/>
      <w:proofErr w:type="gramEnd"/>
      <w:r>
        <w:rPr>
          <w:rFonts w:ascii="Calibri" w:hAnsi="Calibri"/>
        </w:rPr>
        <w:t xml:space="preserve"> руб. (максимальная величина с 15 мая 2012 г.!), так что пока говорить об ухудшении ситуации с ликвидностью было бы неверно. Более выразительным сейчас выглядит рынок первичный, на котором заемщики продолжают увеличивать свое присутствие. Как всегда, первое место здесь занимают банки, которые снова формируют целый навес предложения со своей стороны. Отметим, что текущие рыночные кондиции являются довольно комфортными для того, чтобы делать рынку свои предложения, так как уровень доходностей корпоративных бондов удерживаются на низком уровне, чему способствует и нефть и в целом временная стабилизация на глобальных рынках. В плане первичного предложения август месяц обещает быть интересным. Сектор госбумаг завершил неделю с довольно скромным результатом, доходности большинства ОФЗ остались фактически на уровне конца прошлой неделе, исключение разве что составили наиболее короткие 2-3-летние бонды, доходность которых снизилась в пределах 10 б.п.</w:t>
      </w:r>
    </w:p>
    <w:p w:rsidR="007D6A3B" w:rsidRDefault="00921004" w:rsidP="00921004">
      <w:pPr>
        <w:spacing w:before="120" w:after="120"/>
        <w:jc w:val="both"/>
      </w:pPr>
      <w:proofErr w:type="gramStart"/>
      <w:r>
        <w:rPr>
          <w:rFonts w:ascii="Calibri" w:hAnsi="Calibri"/>
        </w:rPr>
        <w:t xml:space="preserve">На европейском </w:t>
      </w:r>
      <w:proofErr w:type="spellStart"/>
      <w:r>
        <w:rPr>
          <w:rFonts w:ascii="Calibri" w:hAnsi="Calibri"/>
        </w:rPr>
        <w:t>риск-градуснике</w:t>
      </w:r>
      <w:proofErr w:type="spellEnd"/>
      <w:r>
        <w:rPr>
          <w:rFonts w:ascii="Calibri" w:hAnsi="Calibri"/>
        </w:rPr>
        <w:t xml:space="preserve"> температура постепенно спадает: нового негатива по еврозоне на рынок пока не выливается, да и в целом взяться ему пока неоткуда – все ключевые события состоятся в сентябре (не раньше этого месяца власти ЕС смогут дать оценку финансам Греции, также определенную телесность приобретет и широкомасштабная программа по выкупу долгов проблемных стран с возможным ее стартом).</w:t>
      </w:r>
      <w:proofErr w:type="gramEnd"/>
      <w:r>
        <w:rPr>
          <w:rFonts w:ascii="Calibri" w:hAnsi="Calibri"/>
        </w:rPr>
        <w:t xml:space="preserve"> Пока же ключевые данные по ВВП составных частей еврозоны не смогли пошатнуть рынки, отчасти оказавшись даже лучше прогнозов аналитиков (порадовали данные по ВВП Германии и Франции). Пока же инвесторы находятся в ожидании новых стимулирующих мер, в целом </w:t>
      </w:r>
      <w:proofErr w:type="gramStart"/>
      <w:r>
        <w:rPr>
          <w:rFonts w:ascii="Calibri" w:hAnsi="Calibri"/>
        </w:rPr>
        <w:t>аппетит к</w:t>
      </w:r>
      <w:proofErr w:type="gramEnd"/>
      <w:r>
        <w:rPr>
          <w:rFonts w:ascii="Calibri" w:hAnsi="Calibri"/>
        </w:rPr>
        <w:t xml:space="preserve"> рисковым классам активов умеренно растет, что наиболее красочно отражает доходность испанских десятилетних бондов, за неделю снизившаяся на 46 б.п. – до 6.42 с 6.88 % годовых прошлой пятницы. В пользу роста аппетита к риску говорит и снижение спроса на защитные </w:t>
      </w:r>
      <w:proofErr w:type="spellStart"/>
      <w:r>
        <w:rPr>
          <w:rFonts w:ascii="Calibri" w:hAnsi="Calibri"/>
        </w:rPr>
        <w:t>сверхкачественные</w:t>
      </w:r>
      <w:proofErr w:type="spellEnd"/>
      <w:r>
        <w:rPr>
          <w:rFonts w:ascii="Calibri" w:hAnsi="Calibri"/>
        </w:rPr>
        <w:t xml:space="preserve"> американские </w:t>
      </w:r>
      <w:r>
        <w:rPr>
          <w:rFonts w:ascii="Calibri" w:hAnsi="Calibri"/>
          <w:lang w:val="en-US"/>
        </w:rPr>
        <w:t>UST</w:t>
      </w:r>
      <w:r>
        <w:rPr>
          <w:rFonts w:ascii="Calibri" w:hAnsi="Calibri"/>
        </w:rPr>
        <w:t xml:space="preserve">-10, доходность </w:t>
      </w:r>
      <w:proofErr w:type="gramStart"/>
      <w:r>
        <w:rPr>
          <w:rFonts w:ascii="Calibri" w:hAnsi="Calibri"/>
        </w:rPr>
        <w:t>которых</w:t>
      </w:r>
      <w:proofErr w:type="gramEnd"/>
      <w:r>
        <w:rPr>
          <w:rFonts w:ascii="Calibri" w:hAnsi="Calibri"/>
        </w:rPr>
        <w:t xml:space="preserve"> за неделю выросла на 17 б.п. – до 1.83 с 1.66 % годовых.</w:t>
      </w:r>
    </w:p>
    <w:sectPr w:rsidR="007D6A3B" w:rsidSect="007D6A3B">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AA9" w:rsidRDefault="00C10AA9" w:rsidP="00921004">
      <w:r>
        <w:separator/>
      </w:r>
    </w:p>
  </w:endnote>
  <w:endnote w:type="continuationSeparator" w:id="0">
    <w:p w:rsidR="00C10AA9" w:rsidRDefault="00C10AA9" w:rsidP="009210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0079"/>
      <w:docPartObj>
        <w:docPartGallery w:val="Page Numbers (Bottom of Page)"/>
        <w:docPartUnique/>
      </w:docPartObj>
    </w:sdtPr>
    <w:sdtContent>
      <w:p w:rsidR="00182300" w:rsidRDefault="00182300">
        <w:pPr>
          <w:pStyle w:val="a5"/>
          <w:jc w:val="right"/>
        </w:pPr>
        <w:fldSimple w:instr=" PAGE   \* MERGEFORMAT ">
          <w:r w:rsidR="00D113D3">
            <w:rPr>
              <w:noProof/>
            </w:rPr>
            <w:t>3</w:t>
          </w:r>
        </w:fldSimple>
      </w:p>
    </w:sdtContent>
  </w:sdt>
  <w:p w:rsidR="00182300" w:rsidRDefault="001823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AA9" w:rsidRDefault="00C10AA9" w:rsidP="00921004">
      <w:r>
        <w:separator/>
      </w:r>
    </w:p>
  </w:footnote>
  <w:footnote w:type="continuationSeparator" w:id="0">
    <w:p w:rsidR="00C10AA9" w:rsidRDefault="00C10AA9" w:rsidP="00921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004" w:rsidRPr="00921004" w:rsidRDefault="00921004">
    <w:pPr>
      <w:pStyle w:val="a3"/>
      <w:rPr>
        <w:rFonts w:ascii="Arial" w:hAnsi="Arial" w:cs="Arial"/>
        <w:b/>
        <w:sz w:val="22"/>
        <w:szCs w:val="22"/>
      </w:rPr>
    </w:pPr>
    <w:r w:rsidRPr="00921004">
      <w:rPr>
        <w:rFonts w:ascii="Arial" w:hAnsi="Arial" w:cs="Arial"/>
        <w:b/>
        <w:sz w:val="22"/>
        <w:szCs w:val="22"/>
      </w:rPr>
      <w:t>Еженедельный инвестиционный комментарий от ИГ "Норд-Капитал"</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21004"/>
    <w:rsid w:val="001478BB"/>
    <w:rsid w:val="00182300"/>
    <w:rsid w:val="006616DA"/>
    <w:rsid w:val="007D6A3B"/>
    <w:rsid w:val="007E6860"/>
    <w:rsid w:val="00921004"/>
    <w:rsid w:val="00A15701"/>
    <w:rsid w:val="00C10AA9"/>
    <w:rsid w:val="00D11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0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21004"/>
    <w:pPr>
      <w:tabs>
        <w:tab w:val="center" w:pos="4677"/>
        <w:tab w:val="right" w:pos="9355"/>
      </w:tabs>
    </w:pPr>
  </w:style>
  <w:style w:type="character" w:customStyle="1" w:styleId="a4">
    <w:name w:val="Верхний колонтитул Знак"/>
    <w:basedOn w:val="a0"/>
    <w:link w:val="a3"/>
    <w:uiPriority w:val="99"/>
    <w:semiHidden/>
    <w:rsid w:val="00921004"/>
    <w:rPr>
      <w:rFonts w:ascii="Times New Roman" w:hAnsi="Times New Roman" w:cs="Times New Roman"/>
      <w:sz w:val="24"/>
      <w:szCs w:val="24"/>
      <w:lang w:eastAsia="ru-RU"/>
    </w:rPr>
  </w:style>
  <w:style w:type="paragraph" w:styleId="a5">
    <w:name w:val="footer"/>
    <w:basedOn w:val="a"/>
    <w:link w:val="a6"/>
    <w:uiPriority w:val="99"/>
    <w:unhideWhenUsed/>
    <w:rsid w:val="00921004"/>
    <w:pPr>
      <w:tabs>
        <w:tab w:val="center" w:pos="4677"/>
        <w:tab w:val="right" w:pos="9355"/>
      </w:tabs>
    </w:pPr>
  </w:style>
  <w:style w:type="character" w:customStyle="1" w:styleId="a6">
    <w:name w:val="Нижний колонтитул Знак"/>
    <w:basedOn w:val="a0"/>
    <w:link w:val="a5"/>
    <w:uiPriority w:val="99"/>
    <w:rsid w:val="00921004"/>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45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1267</Words>
  <Characters>7225</Characters>
  <Application>Microsoft Office Word</Application>
  <DocSecurity>0</DocSecurity>
  <Lines>60</Lines>
  <Paragraphs>16</Paragraphs>
  <ScaleCrop>false</ScaleCrop>
  <Company>Finam</Company>
  <LinksUpToDate>false</LinksUpToDate>
  <CharactersWithSpaces>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akolesnikova</dc:creator>
  <cp:keywords/>
  <dc:description/>
  <cp:lastModifiedBy>akolesnikova</cp:lastModifiedBy>
  <cp:revision>3</cp:revision>
  <dcterms:created xsi:type="dcterms:W3CDTF">2012-08-20T10:42:00Z</dcterms:created>
  <dcterms:modified xsi:type="dcterms:W3CDTF">2012-08-20T10:49:00Z</dcterms:modified>
</cp:coreProperties>
</file>