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3DF2" w:rsidRPr="006B1F07" w:rsidRDefault="00F13B59" w:rsidP="002C3DF2">
      <w:pPr>
        <w:tabs>
          <w:tab w:val="left" w:pos="3840"/>
        </w:tabs>
        <w:spacing w:after="280"/>
        <w:rPr>
          <w:rFonts w:cs="Calibri"/>
        </w:rPr>
      </w:pPr>
      <w:bookmarkStart w:id="0" w:name="OLE_LINK1"/>
      <w:bookmarkStart w:id="1" w:name="OLE_LINK2"/>
      <w:r>
        <w:rPr>
          <w:rFonts w:cs="Calibri"/>
        </w:rPr>
        <w:t>20</w:t>
      </w:r>
      <w:bookmarkStart w:id="2" w:name="_GoBack"/>
      <w:bookmarkEnd w:id="2"/>
      <w:r w:rsidR="002C3DF2" w:rsidRPr="006B1F07">
        <w:rPr>
          <w:rFonts w:cs="Calibri"/>
        </w:rPr>
        <w:t xml:space="preserve"> ию</w:t>
      </w:r>
      <w:r w:rsidR="00BE3208">
        <w:rPr>
          <w:rFonts w:cs="Calibri"/>
        </w:rPr>
        <w:t>л</w:t>
      </w:r>
      <w:r w:rsidR="002C3DF2" w:rsidRPr="006B1F07">
        <w:rPr>
          <w:rFonts w:cs="Calibri"/>
        </w:rPr>
        <w:t>я 2015 года</w:t>
      </w:r>
      <w:bookmarkEnd w:id="0"/>
      <w:bookmarkEnd w:id="1"/>
    </w:p>
    <w:p w:rsidR="00061470" w:rsidRP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Повысившийся курс доллара стал препятствием для роста сырьевых товаров. Цена на золото тестирует предельные уровни, а нефть остается под давлением третью неделю подряд. Рынок зерна отыграл часть предыдущих достижений, а сегменты какао и кофе получили поддержку.</w:t>
      </w:r>
    </w:p>
    <w:p w:rsidR="00061470" w:rsidRDefault="00061470" w:rsidP="00BE3208">
      <w:pPr>
        <w:spacing w:after="0" w:line="240" w:lineRule="auto"/>
        <w:rPr>
          <w:rFonts w:eastAsia="Times New Roman"/>
          <w:b/>
          <w:bCs/>
          <w:kern w:val="1"/>
          <w:sz w:val="36"/>
          <w:szCs w:val="36"/>
        </w:rPr>
      </w:pPr>
    </w:p>
    <w:p w:rsidR="00BE3208" w:rsidRDefault="00061470" w:rsidP="00BE3208">
      <w:pPr>
        <w:spacing w:after="0" w:line="240" w:lineRule="auto"/>
        <w:rPr>
          <w:rFonts w:eastAsia="Times New Roman"/>
          <w:b/>
          <w:bCs/>
          <w:kern w:val="1"/>
          <w:sz w:val="36"/>
          <w:szCs w:val="36"/>
        </w:rPr>
      </w:pPr>
      <w:r w:rsidRPr="00061470">
        <w:rPr>
          <w:rFonts w:eastAsia="Times New Roman"/>
          <w:b/>
          <w:bCs/>
          <w:kern w:val="1"/>
          <w:sz w:val="36"/>
          <w:szCs w:val="36"/>
        </w:rPr>
        <w:t>Еженедельный обзор сырьевого рынка: Сделка с Ираном пошатнула нефтяную отрасль</w:t>
      </w:r>
    </w:p>
    <w:p w:rsidR="006708EE" w:rsidRPr="006708EE" w:rsidRDefault="006708EE" w:rsidP="006708EE">
      <w:pPr>
        <w:spacing w:before="280" w:after="280" w:line="240" w:lineRule="auto"/>
      </w:pPr>
      <w:r w:rsidRPr="008A59C6">
        <w:rPr>
          <w:rFonts w:cstheme="minorHAnsi"/>
          <w:i/>
          <w:iCs/>
        </w:rPr>
        <w:t xml:space="preserve">Оле Слот Хансен, стратег и директор отдела биржевых продуктов </w:t>
      </w:r>
      <w:r w:rsidRPr="008A59C6">
        <w:rPr>
          <w:bCs/>
          <w:i/>
        </w:rPr>
        <w:t xml:space="preserve">брокерской компании </w:t>
      </w:r>
      <w:hyperlink r:id="rId7" w:history="1">
        <w:r w:rsidRPr="008A59C6">
          <w:rPr>
            <w:rStyle w:val="a3"/>
            <w:i/>
          </w:rPr>
          <w:t>Saxo Bank</w:t>
        </w:r>
      </w:hyperlink>
    </w:p>
    <w:p w:rsidR="00061470" w:rsidRPr="00061470" w:rsidRDefault="00061470" w:rsidP="00061470">
      <w:pPr>
        <w:pStyle w:val="af2"/>
        <w:numPr>
          <w:ilvl w:val="0"/>
          <w:numId w:val="13"/>
        </w:numPr>
        <w:tabs>
          <w:tab w:val="left" w:pos="220"/>
          <w:tab w:val="left" w:pos="720"/>
        </w:tabs>
        <w:rPr>
          <w:rFonts w:asciiTheme="minorHAnsi" w:hAnsiTheme="minorHAnsi" w:cs="Times New Roman"/>
          <w:b/>
          <w:bCs/>
          <w:color w:val="323232"/>
        </w:rPr>
      </w:pPr>
      <w:r w:rsidRPr="00061470">
        <w:rPr>
          <w:rFonts w:asciiTheme="minorHAnsi" w:hAnsiTheme="minorHAnsi" w:cs="Times New Roman"/>
          <w:b/>
          <w:bCs/>
          <w:color w:val="323232"/>
        </w:rPr>
        <w:t>Рост курса доллара заставил игроков товарного рынка спешно закрывать позиции, а индекс Bloomberg понизился на 1,8%</w:t>
      </w:r>
    </w:p>
    <w:p w:rsidR="00061470" w:rsidRPr="00061470" w:rsidRDefault="00061470" w:rsidP="00061470">
      <w:pPr>
        <w:pStyle w:val="af2"/>
        <w:numPr>
          <w:ilvl w:val="0"/>
          <w:numId w:val="13"/>
        </w:numPr>
        <w:tabs>
          <w:tab w:val="left" w:pos="220"/>
          <w:tab w:val="left" w:pos="720"/>
        </w:tabs>
        <w:rPr>
          <w:rFonts w:asciiTheme="minorHAnsi" w:hAnsiTheme="minorHAnsi" w:cs="Times New Roman"/>
          <w:b/>
          <w:bCs/>
          <w:color w:val="323232"/>
        </w:rPr>
      </w:pPr>
      <w:r w:rsidRPr="00061470">
        <w:rPr>
          <w:rFonts w:asciiTheme="minorHAnsi" w:hAnsiTheme="minorHAnsi" w:cs="Times New Roman"/>
          <w:b/>
          <w:bCs/>
          <w:color w:val="323232"/>
        </w:rPr>
        <w:t>Нефтяной рынок под давлением: сделка с Ираном спровоцировала падение цен на сорта Brent и WTI</w:t>
      </w:r>
    </w:p>
    <w:p w:rsidR="00061470" w:rsidRPr="00061470" w:rsidRDefault="00061470" w:rsidP="00061470">
      <w:pPr>
        <w:pStyle w:val="af2"/>
        <w:numPr>
          <w:ilvl w:val="0"/>
          <w:numId w:val="13"/>
        </w:numPr>
        <w:tabs>
          <w:tab w:val="left" w:pos="220"/>
          <w:tab w:val="left" w:pos="720"/>
        </w:tabs>
        <w:rPr>
          <w:rFonts w:asciiTheme="minorHAnsi" w:hAnsiTheme="minorHAnsi" w:cs="Times New Roman"/>
          <w:b/>
          <w:bCs/>
          <w:color w:val="323232"/>
        </w:rPr>
      </w:pPr>
      <w:r w:rsidRPr="00061470">
        <w:rPr>
          <w:rFonts w:asciiTheme="minorHAnsi" w:hAnsiTheme="minorHAnsi" w:cs="Times New Roman"/>
          <w:b/>
          <w:bCs/>
          <w:color w:val="323232"/>
        </w:rPr>
        <w:t>В первом квартале 2016 года ожидается битва за долю на нефтяном рынке в условиях избыточного предложения</w:t>
      </w:r>
    </w:p>
    <w:p w:rsidR="00061470" w:rsidRPr="00061470" w:rsidRDefault="00061470" w:rsidP="00061470">
      <w:pPr>
        <w:pStyle w:val="af2"/>
        <w:numPr>
          <w:ilvl w:val="0"/>
          <w:numId w:val="13"/>
        </w:numPr>
        <w:tabs>
          <w:tab w:val="left" w:pos="220"/>
          <w:tab w:val="left" w:pos="720"/>
        </w:tabs>
        <w:rPr>
          <w:rFonts w:asciiTheme="minorHAnsi" w:hAnsiTheme="minorHAnsi" w:cs="Times New Roman"/>
          <w:b/>
          <w:bCs/>
          <w:color w:val="323232"/>
        </w:rPr>
      </w:pPr>
      <w:r w:rsidRPr="00061470">
        <w:rPr>
          <w:rFonts w:asciiTheme="minorHAnsi" w:hAnsiTheme="minorHAnsi" w:cs="Times New Roman"/>
          <w:b/>
          <w:bCs/>
          <w:color w:val="323232"/>
        </w:rPr>
        <w:t>Рынок золота приготовился закрыться в области пятилетнего минимума</w:t>
      </w:r>
    </w:p>
    <w:p w:rsidR="00061470" w:rsidRPr="00061470" w:rsidRDefault="00061470" w:rsidP="00061470">
      <w:pPr>
        <w:pStyle w:val="af2"/>
        <w:numPr>
          <w:ilvl w:val="0"/>
          <w:numId w:val="13"/>
        </w:numPr>
        <w:tabs>
          <w:tab w:val="left" w:pos="220"/>
          <w:tab w:val="left" w:pos="720"/>
        </w:tabs>
        <w:rPr>
          <w:rFonts w:asciiTheme="minorHAnsi" w:hAnsiTheme="minorHAnsi" w:cs="Times New Roman"/>
          <w:b/>
          <w:bCs/>
          <w:color w:val="323232"/>
        </w:rPr>
      </w:pPr>
      <w:r w:rsidRPr="00061470">
        <w:rPr>
          <w:rFonts w:asciiTheme="minorHAnsi" w:hAnsiTheme="minorHAnsi" w:cs="Times New Roman"/>
          <w:b/>
          <w:bCs/>
          <w:color w:val="323232"/>
        </w:rPr>
        <w:t>Лидеры роста на этой неделе — сегменты какао и кофе, отрасль животноводства также противостоит тренду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Сырьевой сектор сдает позиции вторую неделю подряд на фоне возросшего курса доллара, уменьшения риска банкротства Греции и достижения соглашения с Ираном по ядерной программе. Фондовый рынок Китая стабилизировался, что оказало поддержку сегменту промышленных металлов, в то время как в остальных отраслях были зафиксированы убытки.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Особенно заметны были потери в нефтяном секторе, который отрицательно отреагировал на новость о том, что </w:t>
      </w:r>
      <w:hyperlink r:id="rId8" w:history="1">
        <w:r w:rsidRPr="00061470">
          <w:rPr>
            <w:rStyle w:val="a3"/>
            <w:rFonts w:eastAsia="Times New Roman"/>
            <w:lang w:eastAsia="ru-RU"/>
          </w:rPr>
          <w:t>договоренность с Ираном по ядерной программе, наконец, достигнута</w:t>
        </w:r>
      </w:hyperlink>
      <w:r w:rsidRPr="00061470">
        <w:rPr>
          <w:rFonts w:eastAsia="Times New Roman"/>
          <w:lang w:eastAsia="ru-RU"/>
        </w:rPr>
        <w:t>, так как это открывает новый источник поставок на уже переполненный рынок.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Дополнительным фактором продаж на нефтяных рынках послужило известие о неожиданном для этого сезона увеличении запасов энергоносителя в главном центре поставок сырой нефти </w:t>
      </w:r>
      <w:r w:rsidRPr="00061470">
        <w:rPr>
          <w:rFonts w:eastAsia="Times New Roman"/>
          <w:lang w:val="en-US" w:eastAsia="ru-RU"/>
        </w:rPr>
        <w:t>WTI</w:t>
      </w:r>
      <w:r w:rsidRPr="00061470">
        <w:rPr>
          <w:rFonts w:eastAsia="Times New Roman"/>
          <w:lang w:eastAsia="ru-RU"/>
        </w:rPr>
        <w:t xml:space="preserve"> в Кушинге (штат Оклахома).</w:t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760720" cy="3566160"/>
            <wp:effectExtent l="0" t="0" r="0" b="0"/>
            <wp:docPr id="7" name="Рисунок 7" descr="Weekly sector performa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Weekly sector performanc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Pr="00F13B59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i/>
          <w:iCs/>
          <w:lang w:eastAsia="ru-RU"/>
        </w:rPr>
        <w:t xml:space="preserve">Только сектору </w:t>
      </w:r>
      <w:hyperlink r:id="rId10" w:history="1">
        <w:r w:rsidRPr="00061470">
          <w:rPr>
            <w:rStyle w:val="a3"/>
            <w:rFonts w:eastAsia="Times New Roman"/>
            <w:i/>
            <w:iCs/>
            <w:lang w:eastAsia="ru-RU"/>
          </w:rPr>
          <w:t>животноводства</w:t>
        </w:r>
      </w:hyperlink>
      <w:r w:rsidRPr="00061470">
        <w:rPr>
          <w:rFonts w:eastAsia="Times New Roman"/>
          <w:i/>
          <w:iCs/>
          <w:lang w:eastAsia="ru-RU"/>
        </w:rPr>
        <w:t xml:space="preserve"> удалось противостоять тренду на этой неделе, в течение которой индекс понизился на 1,8%. Фото: </w:t>
      </w:r>
      <w:r w:rsidRPr="00061470">
        <w:rPr>
          <w:rFonts w:eastAsia="Times New Roman"/>
          <w:i/>
          <w:iCs/>
          <w:lang w:val="en-US" w:eastAsia="ru-RU"/>
        </w:rPr>
        <w:t>iStock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Цены на драгоценные металлы падали четвертую неделю подряд на фоне роста курса доллара, а также смещения фокуса на рынке на предполагаемый срок повышения процентных ставок в США.</w:t>
      </w:r>
      <w:hyperlink r:id="rId11" w:history="1">
        <w:r w:rsidRPr="00061470">
          <w:rPr>
            <w:rStyle w:val="a3"/>
            <w:rFonts w:eastAsia="Times New Roman"/>
            <w:lang w:eastAsia="ru-RU"/>
          </w:rPr>
          <w:t xml:space="preserve"> Поскольку угроза выхода Греции из Еврозоны уменьшилась</w:t>
        </w:r>
      </w:hyperlink>
      <w:r w:rsidRPr="00061470">
        <w:rPr>
          <w:rFonts w:eastAsia="Times New Roman"/>
          <w:lang w:eastAsia="ru-RU"/>
        </w:rPr>
        <w:t>, рискованные сделки с акциями резко увеличились, а также в моду снова вошли биржевые операции на разнице ставок.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В таких биржевых операциях трейдеры извлекают прибыль из разных представлений о будущих процентных ставках, продавая евро против доллара и фунта. Это помогает объяснить, почему курс евро предположительно будет падать, несмотря на снижение уровня неопределенности в ситуации с Грецией.</w:t>
      </w:r>
    </w:p>
    <w:p w:rsidR="00061470" w:rsidRDefault="00813CE7" w:rsidP="00061470">
      <w:pPr>
        <w:spacing w:before="240" w:after="0" w:line="240" w:lineRule="auto"/>
        <w:rPr>
          <w:rFonts w:eastAsia="Times New Roman"/>
          <w:lang w:eastAsia="ru-RU"/>
        </w:rPr>
      </w:pPr>
      <w:hyperlink r:id="rId12" w:history="1">
        <w:r w:rsidR="00061470" w:rsidRPr="00061470">
          <w:rPr>
            <w:rStyle w:val="a3"/>
            <w:rFonts w:eastAsia="Times New Roman"/>
            <w:lang w:eastAsia="ru-RU"/>
          </w:rPr>
          <w:t>Исключениями на рынке продавцов стали сегменты какао и кофе сорта Арабика</w:t>
        </w:r>
      </w:hyperlink>
      <w:r w:rsidR="00061470" w:rsidRPr="00061470">
        <w:rPr>
          <w:rFonts w:eastAsia="Times New Roman"/>
          <w:lang w:eastAsia="ru-RU"/>
        </w:rPr>
        <w:t>. Волнения по поводу условий выращивания в Гане, второй по величине стране-производителе какао, оказали поддержку этой культуре, в то время как кофе подорожало на фоне признаков возможного сокращения урожая в Бразилии, хотя нисходящий тренд, в котором он торговался большую часть этого года, остается в силе.</w:t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noProof/>
          <w:lang w:eastAsia="ru-RU"/>
        </w:rPr>
        <w:lastRenderedPageBreak/>
        <w:drawing>
          <wp:inline distT="0" distB="0" distL="0" distR="0">
            <wp:extent cx="5760720" cy="3566160"/>
            <wp:effectExtent l="0" t="0" r="0" b="0"/>
            <wp:docPr id="6" name="Рисунок 6" descr="One week performan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One week performances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566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i/>
          <w:iCs/>
          <w:lang w:eastAsia="ru-RU"/>
        </w:rPr>
        <w:t xml:space="preserve">На этой неделе проигравших было больше, чем победителей, однако сегменты </w:t>
      </w:r>
      <w:hyperlink r:id="rId14" w:history="1">
        <w:r w:rsidRPr="00061470">
          <w:rPr>
            <w:rStyle w:val="a3"/>
            <w:rFonts w:eastAsia="Times New Roman"/>
            <w:i/>
            <w:iCs/>
            <w:lang w:eastAsia="ru-RU"/>
          </w:rPr>
          <w:t>какао</w:t>
        </w:r>
      </w:hyperlink>
      <w:r w:rsidRPr="00061470">
        <w:rPr>
          <w:rFonts w:eastAsia="Times New Roman"/>
          <w:i/>
          <w:iCs/>
          <w:lang w:eastAsia="ru-RU"/>
        </w:rPr>
        <w:t xml:space="preserve"> и кофе стали исключениями.</w:t>
      </w:r>
    </w:p>
    <w:p w:rsidR="00061470" w:rsidRDefault="00813CE7" w:rsidP="00061470">
      <w:pPr>
        <w:spacing w:before="240" w:after="0" w:line="240" w:lineRule="auto"/>
        <w:rPr>
          <w:rFonts w:eastAsia="Times New Roman"/>
          <w:lang w:eastAsia="ru-RU"/>
        </w:rPr>
      </w:pPr>
      <w:hyperlink r:id="rId15" w:history="1">
        <w:r w:rsidR="00061470" w:rsidRPr="00061470">
          <w:rPr>
            <w:rStyle w:val="a3"/>
            <w:rFonts w:eastAsia="Times New Roman"/>
            <w:lang w:eastAsia="ru-RU"/>
          </w:rPr>
          <w:t>В понедельник успешно завершились долгие переговоры между Ираном и шестью державами</w:t>
        </w:r>
      </w:hyperlink>
      <w:r w:rsidR="00061470" w:rsidRPr="00061470">
        <w:rPr>
          <w:rFonts w:eastAsia="Times New Roman"/>
          <w:lang w:eastAsia="ru-RU"/>
        </w:rPr>
        <w:t xml:space="preserve">, по итогам которых, наконец, было достигнуто соглашение. Как только оно будет ратифицировано ООН и правительствами соответствующих стран, 12-летний конфликт из-за ядерной программы Ирана будет исчерпан. 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Хотя сделку горячо поддержал президент США Барак Обама, который сказал, что отсутствие соглашения увеличит угрозу войны в регионе, теперь ее еще должен утвердить Конгресс. Президент четко дал понять, что на любые законы, препятствующие исполнению сделки, будет наложен запрет.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Участники нефтяного рынка несколько месяцев обсуждают, какие последствия может принести сделка, учитывая, что рынок уже еле справляется с увеличившимися объемами поставок из Саудовской Аравии и Ирака при одновременно стабильно высоких темпах добычи на американских сланцевых месторождениях. 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Первой реакцией стали продажи </w:t>
      </w:r>
      <w:hyperlink r:id="rId16" w:history="1">
        <w:r w:rsidRPr="00061470">
          <w:rPr>
            <w:rStyle w:val="a3"/>
            <w:rFonts w:eastAsia="Times New Roman"/>
            <w:lang w:eastAsia="ru-RU"/>
          </w:rPr>
          <w:t>сорта WTI</w:t>
        </w:r>
      </w:hyperlink>
      <w:r w:rsidRPr="00061470">
        <w:rPr>
          <w:rFonts w:eastAsia="Times New Roman"/>
          <w:lang w:eastAsia="ru-RU"/>
        </w:rPr>
        <w:t>, в ходе которых цена дошла до психологической отметки 50 долларов за баррель, однако осознание того, что последствия увеличения предложения из Ирана начнут ощущаться не раньше, чем в следующем году, помогло стабилизировать цену.</w:t>
      </w:r>
    </w:p>
    <w:p w:rsidR="00061470" w:rsidRDefault="00061470" w:rsidP="00061470">
      <w:pPr>
        <w:spacing w:before="240" w:after="0" w:line="240" w:lineRule="auto"/>
        <w:rPr>
          <w:rFonts w:eastAsia="Times New Roman"/>
          <w:b/>
          <w:bCs/>
          <w:lang w:eastAsia="ru-RU"/>
        </w:rPr>
      </w:pPr>
      <w:r w:rsidRPr="00061470">
        <w:rPr>
          <w:rFonts w:eastAsia="Times New Roman"/>
          <w:b/>
          <w:bCs/>
          <w:lang w:eastAsia="ru-RU"/>
        </w:rPr>
        <w:t>Грядет битва за рыночную долю в 2016 году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Ни Саудовская Аравия, ни Ирак, которые сейчас демонстрируют рекордные темпы добычи, не уменьшат объемы производства, чтобы высвободить место для иранской нефти, которая предположительно начнет поступать на рынок в первом квартале следующего года.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lastRenderedPageBreak/>
        <w:t>Напротив, эти две страны надеются на то, что непрекращающийся рост спроса создаст возможности для увеличения предложения и поможет избежать очередного кризиса затоваренности. Также нужно учитывать, что ожидания того, что цена на нефть ниже 60 долларов за баррель может вынудить американских производителей сократить добычу сланцевой нефти, по-прежнему зависят от высокой цены безубыточности.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Тегеран решительно настроен вернуть себе статус второго по величине производителя нефти в </w:t>
      </w:r>
      <w:hyperlink r:id="rId17" w:history="1">
        <w:r w:rsidRPr="00061470">
          <w:rPr>
            <w:rStyle w:val="a3"/>
            <w:rFonts w:eastAsia="Times New Roman"/>
            <w:lang w:eastAsia="ru-RU"/>
          </w:rPr>
          <w:t>ОПЕК</w:t>
        </w:r>
      </w:hyperlink>
      <w:r w:rsidRPr="00061470">
        <w:rPr>
          <w:rFonts w:eastAsia="Times New Roman"/>
          <w:lang w:eastAsia="ru-RU"/>
        </w:rPr>
        <w:t xml:space="preserve"> после Саудовской Аравии, и это может привести к возобновлению конкурентной борьбы внутри группы, особенно если фундаментальные факторы на рынке нефти в это время не будут способствовать увеличению предложения.</w:t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noProof/>
          <w:lang w:eastAsia="ru-RU"/>
        </w:rPr>
        <w:drawing>
          <wp:inline distT="0" distB="0" distL="0" distR="0">
            <wp:extent cx="5760720" cy="3749040"/>
            <wp:effectExtent l="0" t="0" r="0" b="3810"/>
            <wp:docPr id="5" name="Рисунок 5" descr="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j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749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P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i/>
          <w:iCs/>
          <w:lang w:eastAsia="ru-RU"/>
        </w:rPr>
        <w:t xml:space="preserve">Если ядерная сделка будет ратифицирована, то к первому кварталу 2016 года </w:t>
      </w:r>
      <w:hyperlink r:id="rId19" w:history="1">
        <w:r w:rsidRPr="00061470">
          <w:rPr>
            <w:rStyle w:val="a3"/>
            <w:rFonts w:eastAsia="Times New Roman"/>
            <w:i/>
            <w:iCs/>
            <w:lang w:eastAsia="ru-RU"/>
          </w:rPr>
          <w:t>Иран</w:t>
        </w:r>
      </w:hyperlink>
      <w:r w:rsidRPr="00061470">
        <w:rPr>
          <w:rFonts w:eastAsia="Times New Roman"/>
          <w:i/>
          <w:iCs/>
          <w:lang w:eastAsia="ru-RU"/>
        </w:rPr>
        <w:t xml:space="preserve"> может начать закачивать нефть на экспорт в значительных объемах, что может спровоцировать борьбу за влияние внутри нефтяного картеля ОПЕК. Фото: </w:t>
      </w:r>
      <w:r w:rsidRPr="00061470">
        <w:rPr>
          <w:rFonts w:eastAsia="Times New Roman"/>
          <w:i/>
          <w:iCs/>
          <w:lang w:val="en-US" w:eastAsia="ru-RU"/>
        </w:rPr>
        <w:t>iStock</w:t>
      </w:r>
    </w:p>
    <w:p w:rsidR="00061470" w:rsidRDefault="00061470" w:rsidP="00061470">
      <w:pPr>
        <w:spacing w:before="240" w:after="0" w:line="240" w:lineRule="auto"/>
        <w:rPr>
          <w:rFonts w:eastAsia="Times New Roman"/>
          <w:b/>
          <w:bCs/>
          <w:lang w:eastAsia="ru-RU"/>
        </w:rPr>
      </w:pPr>
      <w:r w:rsidRPr="00061470">
        <w:rPr>
          <w:rFonts w:eastAsia="Times New Roman"/>
          <w:b/>
          <w:bCs/>
          <w:lang w:eastAsia="ru-RU"/>
        </w:rPr>
        <w:t>Объемы добычи в США остаются высокими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Недавнее увеличение количества действующих нефтяных вышек в США вызвало у некоторых участников рынка удивление, несмотря на то, что для отрасли это обнадеживающий сигнал.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Невзирая на значительно понизившиеся цены в течение последнего года, за последнюю пару месяцев торговля по нефти сорта </w:t>
      </w:r>
      <w:r w:rsidRPr="00061470">
        <w:rPr>
          <w:rFonts w:eastAsia="Times New Roman"/>
          <w:lang w:val="en-US" w:eastAsia="ru-RU"/>
        </w:rPr>
        <w:t>WTI</w:t>
      </w:r>
      <w:r w:rsidRPr="00061470">
        <w:rPr>
          <w:rFonts w:eastAsia="Times New Roman"/>
          <w:lang w:eastAsia="ru-RU"/>
        </w:rPr>
        <w:t xml:space="preserve"> стабилизировалась в районе отметки 60 долларов за баррель, и этого оказалось достаточно для небольшого подъема.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Такая ситуация подтверждает мнение о том, что цена на нефть в США на уровне 60 долларов за баррель и выше оправдывает добычу, и после самого последнего падения на 10 долларов встает вопрос о том, на каком уровне начнется спад производства. 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lastRenderedPageBreak/>
        <w:t>Помимо сделки с Ираном, дополнительным фактором удешевления нефти послужил еженедельный отчет о запасах в США, который, несмотря на общее сокращение запасов, продемонстрировал неожиданное увеличение объемов в главном центре поставки нефти, торгуемой посредством фьючерсных контрактов на Нью-йоркской бирже, в Кушинге (штат Оклахома).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Если такой тренд сохранится до конца месяца, то это будет первый случай за пять лет, когда запасы в Кушинге в июле увеличились, что окажет дополнительное давление на американский рынок, где запасы превышают долгосрочные средние значения приблизительно на 100 миллионов баррелей.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Теперь возникает риск того, что цена на нефть опустится ниже, чем прогнозировалось, несмотря на то, что отрицательные последствия увеличения поставок нефти из Ирана проявятся только в следующем году. Перспектива снижения объемов добычи американскими компаниями в конечном итоге посодействует восстановлению цен. Поэтому хотя мы и не исключаем вероятность падения нефти </w:t>
      </w:r>
      <w:r w:rsidRPr="00061470">
        <w:rPr>
          <w:rFonts w:eastAsia="Times New Roman"/>
          <w:lang w:val="en-US" w:eastAsia="ru-RU"/>
        </w:rPr>
        <w:t>WTI</w:t>
      </w:r>
      <w:r w:rsidRPr="00061470">
        <w:rPr>
          <w:rFonts w:eastAsia="Times New Roman"/>
          <w:lang w:eastAsia="ru-RU"/>
        </w:rPr>
        <w:t xml:space="preserve"> до уровня 45 долларов за баррель в краткосрочной перспективе, мы придерживаемся нашего прогноза о том, что в текущем квартале нефть, вероятнее всего, продолжит торговаться в диапазоне 50-55 долларов за баррель.</w:t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noProof/>
          <w:lang w:eastAsia="ru-RU"/>
        </w:rPr>
        <w:drawing>
          <wp:inline distT="0" distB="0" distL="0" distR="0">
            <wp:extent cx="5760720" cy="4297680"/>
            <wp:effectExtent l="0" t="0" r="0" b="7620"/>
            <wp:docPr id="4" name="Рисунок 4" descr="WTI crude oil, first month con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WTI crude oil, first month con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297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P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i/>
          <w:iCs/>
          <w:lang w:eastAsia="ru-RU"/>
        </w:rPr>
        <w:t xml:space="preserve">Цена на нефть </w:t>
      </w:r>
      <w:r w:rsidRPr="00061470">
        <w:rPr>
          <w:rFonts w:eastAsia="Times New Roman"/>
          <w:i/>
          <w:iCs/>
          <w:lang w:val="en-US" w:eastAsia="ru-RU"/>
        </w:rPr>
        <w:t>WTI</w:t>
      </w:r>
      <w:r w:rsidRPr="00061470">
        <w:rPr>
          <w:rFonts w:eastAsia="Times New Roman"/>
          <w:i/>
          <w:iCs/>
          <w:lang w:eastAsia="ru-RU"/>
        </w:rPr>
        <w:t xml:space="preserve"> может опуститься до 45 долларов за баррель, но в краткосрочной перспективе, вероятнее всего, сохранится диапазон 50-55 долларов. Источник: </w:t>
      </w:r>
      <w:r w:rsidRPr="00061470">
        <w:rPr>
          <w:rFonts w:eastAsia="Times New Roman"/>
          <w:i/>
          <w:iCs/>
          <w:lang w:val="en-US" w:eastAsia="ru-RU"/>
        </w:rPr>
        <w:t>Saxo</w:t>
      </w:r>
      <w:r w:rsidRPr="00061470">
        <w:rPr>
          <w:rFonts w:eastAsia="Times New Roman"/>
          <w:i/>
          <w:iCs/>
          <w:lang w:eastAsia="ru-RU"/>
        </w:rPr>
        <w:t xml:space="preserve"> </w:t>
      </w:r>
      <w:r w:rsidRPr="00061470">
        <w:rPr>
          <w:rFonts w:eastAsia="Times New Roman"/>
          <w:i/>
          <w:iCs/>
          <w:lang w:val="en-US" w:eastAsia="ru-RU"/>
        </w:rPr>
        <w:t>Bank</w:t>
      </w:r>
    </w:p>
    <w:p w:rsidR="00061470" w:rsidRDefault="00061470" w:rsidP="00061470">
      <w:pPr>
        <w:spacing w:before="240" w:after="0" w:line="240" w:lineRule="auto"/>
        <w:rPr>
          <w:rFonts w:eastAsia="Times New Roman"/>
          <w:b/>
          <w:bCs/>
          <w:lang w:eastAsia="ru-RU"/>
        </w:rPr>
      </w:pPr>
      <w:r w:rsidRPr="00061470">
        <w:rPr>
          <w:rFonts w:eastAsia="Times New Roman"/>
          <w:b/>
          <w:bCs/>
          <w:lang w:eastAsia="ru-RU"/>
        </w:rPr>
        <w:t>Слова Йеллен и рост доллара заставили быков по золоту обратиться в бегство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lastRenderedPageBreak/>
        <w:t xml:space="preserve">Пока что в июле цены на золото колеблются, словно маятник, но при этом сохраняется тенденция к снижению на фоне таких факторов, как греческий кризис, волатильность на китайском фондовом рынке и разговоры на рынке о </w:t>
      </w:r>
      <w:hyperlink r:id="rId21" w:history="1">
        <w:r w:rsidRPr="00061470">
          <w:rPr>
            <w:rStyle w:val="a3"/>
            <w:rFonts w:eastAsia="Times New Roman"/>
            <w:lang w:eastAsia="ru-RU"/>
          </w:rPr>
          <w:t>сроке первого повышения процентной ставки в США</w:t>
        </w:r>
      </w:hyperlink>
      <w:r w:rsidRPr="00061470">
        <w:rPr>
          <w:rFonts w:eastAsia="Times New Roman"/>
          <w:lang w:eastAsia="ru-RU"/>
        </w:rPr>
        <w:t>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На этой неделе председатель ФРС Джанет Йеллен, выступая в Конгрессе США, повторила, что процентные ставки, вероятно, поднимутся в этом году. Это заявление, а также общая склонность к риску на рынке посодействовали росту курса доллара и снижению цены на золото, при этом продолжительность падения золота достигла максимального с февраля значения.</w:t>
      </w:r>
    </w:p>
    <w:p w:rsidR="00061470" w:rsidRDefault="00061470" w:rsidP="00061470">
      <w:pPr>
        <w:spacing w:before="240" w:after="0" w:line="240" w:lineRule="auto"/>
        <w:rPr>
          <w:rFonts w:eastAsia="Times New Roman"/>
          <w:b/>
          <w:bCs/>
          <w:lang w:eastAsia="ru-RU"/>
        </w:rPr>
      </w:pPr>
      <w:r w:rsidRPr="00061470">
        <w:rPr>
          <w:rFonts w:eastAsia="Times New Roman"/>
          <w:b/>
          <w:bCs/>
          <w:lang w:eastAsia="ru-RU"/>
        </w:rPr>
        <w:t>Китай раскрыл еще один секрет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В пятницу Народный банк КНР обнародовал обновленную информацию о золотом резерве впервые с 2009 года.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За это время страна увеличила запасы золота на 57% — до 53,3 миллиона унций, заняв пятое место в мире среди крупнейших обладателей золотых слитков, обойдя Россию. 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Китай — крупнейший в мире производитель и один из двух крупнейших потребителей вместе с Индией. Кроме того, в этой стране находится самый большой в мире физический рынок — Шанхайская биржа золота. Однако на рыночную торговлю эта новость не оказала существенного влияния, так как Китай не предоставил информации о том, когда были накоплены эти запасы, а также ничего не сказал о будущих намерениях. </w:t>
      </w:r>
    </w:p>
    <w:p w:rsidR="00061470" w:rsidRP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noProof/>
          <w:lang w:eastAsia="ru-RU"/>
        </w:rPr>
        <w:drawing>
          <wp:inline distT="0" distB="0" distL="0" distR="0">
            <wp:extent cx="5760720" cy="3840480"/>
            <wp:effectExtent l="0" t="0" r="0" b="7620"/>
            <wp:docPr id="3" name="Рисунок 3" descr="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v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P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i/>
          <w:iCs/>
          <w:lang w:val="en-US" w:eastAsia="ru-RU"/>
        </w:rPr>
        <w:t> </w:t>
      </w:r>
      <w:r w:rsidRPr="00061470">
        <w:rPr>
          <w:rFonts w:eastAsia="Times New Roman"/>
          <w:i/>
          <w:iCs/>
          <w:lang w:eastAsia="ru-RU"/>
        </w:rPr>
        <w:t xml:space="preserve">Не здесь ли Китай хранит все свое золото? Фото: </w:t>
      </w:r>
      <w:r w:rsidRPr="00061470">
        <w:rPr>
          <w:rFonts w:eastAsia="Times New Roman"/>
          <w:i/>
          <w:iCs/>
          <w:lang w:val="en-US" w:eastAsia="ru-RU"/>
        </w:rPr>
        <w:t>iStock</w:t>
      </w:r>
    </w:p>
    <w:p w:rsidR="00061470" w:rsidRDefault="00061470" w:rsidP="00061470">
      <w:pPr>
        <w:spacing w:before="240" w:after="0" w:line="240" w:lineRule="auto"/>
        <w:rPr>
          <w:rFonts w:eastAsia="Times New Roman"/>
          <w:b/>
          <w:bCs/>
          <w:lang w:eastAsia="ru-RU"/>
        </w:rPr>
      </w:pPr>
      <w:r w:rsidRPr="00061470">
        <w:rPr>
          <w:rFonts w:eastAsia="Times New Roman"/>
          <w:b/>
          <w:bCs/>
          <w:lang w:eastAsia="ru-RU"/>
        </w:rPr>
        <w:lastRenderedPageBreak/>
        <w:t>Опасайтесь медвежьей ловушки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Учитывая тот факт, что в настоящий момент золото торгуется на расстоянии 1% до пятилетнего минимума на уровне </w:t>
      </w:r>
      <w:hyperlink r:id="rId23" w:history="1">
        <w:r w:rsidRPr="00061470">
          <w:rPr>
            <w:rStyle w:val="a3"/>
            <w:rFonts w:eastAsia="Times New Roman"/>
            <w:lang w:eastAsia="ru-RU"/>
          </w:rPr>
          <w:t>1131 доллар за унцию</w:t>
        </w:r>
      </w:hyperlink>
      <w:r w:rsidRPr="00061470">
        <w:rPr>
          <w:rFonts w:eastAsia="Times New Roman"/>
          <w:lang w:eastAsia="ru-RU"/>
        </w:rPr>
        <w:t>, трейдеры, которые играют на понижение цены, до сих пор получали прибыль со своей рекордной короткой позиции на рынке фьючерсов. За неделю по 7 июля включительно чистая длинная позиция хедж-фондов по фьючерсам и опционам сократилась до минимального уровня как минимум с 2006 года. Такое сокращение обусловлено непрекращающимся увеличением валовой короткой позиции, которая сейчас составляет почти рекордные 11 миллионов унций.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 xml:space="preserve">Вероятность того, что цена не сможет пробить поддержку в области 1132-1142 доллара за унцию, может создать предпосылки для незначительного роста, связанного с фиксацией прибыли медведями на рынке. Однако в условиях увеличивающихся разговоров о паритете между евро и долларом и неопределенности по поводу того, какие последствия сулит повышение процентных ставок в США, рост цены на данном этапе, скорее всего, будет расценено как возможность для новых продаж. </w:t>
      </w:r>
    </w:p>
    <w:p w:rsidR="00061470" w:rsidRDefault="00061470" w:rsidP="00061470">
      <w:pPr>
        <w:spacing w:before="240" w:after="0" w:line="240" w:lineRule="auto"/>
        <w:rPr>
          <w:rFonts w:eastAsia="Times New Roman"/>
          <w:lang w:eastAsia="ru-RU"/>
        </w:rPr>
      </w:pPr>
      <w:r w:rsidRPr="00061470">
        <w:rPr>
          <w:rFonts w:eastAsia="Times New Roman"/>
          <w:lang w:eastAsia="ru-RU"/>
        </w:rPr>
        <w:t>Тем не менее, мы конструктивно подходим к анализу рынка золота и считаем, что в оставшееся время до конца года цена 1080 долларов за унцию будет служить тем барьером, ниже которого золоту будет сложно опуститься. Поэтому мы будем считать любые попытки к снижению в ближайшие недели неоправданными с точки зрения фундаментальных факторов, например себестоимости добычи, и будем использовать их как возможности для покупок на долгосрочную перспективу.</w:t>
      </w:r>
    </w:p>
    <w:p w:rsidR="00061470" w:rsidRDefault="00061470" w:rsidP="00061470">
      <w:pPr>
        <w:spacing w:before="240" w:after="0" w:line="240" w:lineRule="auto"/>
        <w:rPr>
          <w:rFonts w:eastAsia="Times New Roman"/>
          <w:i/>
          <w:iCs/>
          <w:lang w:eastAsia="ru-RU"/>
        </w:rPr>
      </w:pPr>
      <w:r w:rsidRPr="00061470">
        <w:rPr>
          <w:rFonts w:eastAsia="Times New Roman"/>
          <w:noProof/>
          <w:lang w:eastAsia="ru-RU"/>
        </w:rPr>
        <w:drawing>
          <wp:inline distT="0" distB="0" distL="0" distR="0">
            <wp:extent cx="5760720" cy="3931920"/>
            <wp:effectExtent l="0" t="0" r="0" b="0"/>
            <wp:docPr id="1" name="Рисунок 1" descr="Spot Gol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pot Gol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931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470" w:rsidRPr="00740623" w:rsidRDefault="00061470" w:rsidP="00740623">
      <w:pPr>
        <w:spacing w:before="240" w:after="0" w:line="240" w:lineRule="auto"/>
        <w:rPr>
          <w:rFonts w:eastAsia="Times New Roman"/>
          <w:i/>
          <w:iCs/>
          <w:lang w:val="en-US" w:eastAsia="ru-RU"/>
        </w:rPr>
      </w:pPr>
      <w:r w:rsidRPr="00061470">
        <w:rPr>
          <w:rFonts w:eastAsia="Times New Roman"/>
          <w:i/>
          <w:iCs/>
          <w:lang w:eastAsia="ru-RU"/>
        </w:rPr>
        <w:t xml:space="preserve">Золото снижается, но цена 1180 долларов за унцию представляется более справедливой. Источник: </w:t>
      </w:r>
      <w:proofErr w:type="spellStart"/>
      <w:r w:rsidRPr="00061470">
        <w:rPr>
          <w:rFonts w:eastAsia="Times New Roman"/>
          <w:i/>
          <w:iCs/>
          <w:lang w:eastAsia="ru-RU"/>
        </w:rPr>
        <w:t>Saxo</w:t>
      </w:r>
      <w:proofErr w:type="spellEnd"/>
      <w:r w:rsidRPr="00061470">
        <w:rPr>
          <w:rFonts w:eastAsia="Times New Roman"/>
          <w:i/>
          <w:iCs/>
          <w:lang w:eastAsia="ru-RU"/>
        </w:rPr>
        <w:t xml:space="preserve"> </w:t>
      </w:r>
      <w:proofErr w:type="spellStart"/>
      <w:r w:rsidRPr="00061470">
        <w:rPr>
          <w:rFonts w:eastAsia="Times New Roman"/>
          <w:i/>
          <w:iCs/>
          <w:lang w:eastAsia="ru-RU"/>
        </w:rPr>
        <w:t>Bank</w:t>
      </w:r>
      <w:proofErr w:type="spellEnd"/>
    </w:p>
    <w:sectPr w:rsidR="00061470" w:rsidRPr="00740623" w:rsidSect="003D15CA">
      <w:headerReference w:type="default" r:id="rId25"/>
      <w:pgSz w:w="11906" w:h="16838"/>
      <w:pgMar w:top="1134" w:right="1274" w:bottom="1134" w:left="1701" w:header="19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0288" w:rsidRDefault="00AD0288" w:rsidP="00E469A7">
      <w:pPr>
        <w:spacing w:after="0" w:line="240" w:lineRule="auto"/>
      </w:pPr>
      <w:r>
        <w:separator/>
      </w:r>
    </w:p>
  </w:endnote>
  <w:endnote w:type="continuationSeparator" w:id="0">
    <w:p w:rsidR="00AD0288" w:rsidRDefault="00AD0288" w:rsidP="00E4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0288" w:rsidRDefault="00AD0288" w:rsidP="00E469A7">
      <w:pPr>
        <w:spacing w:after="0" w:line="240" w:lineRule="auto"/>
      </w:pPr>
      <w:r>
        <w:separator/>
      </w:r>
    </w:p>
  </w:footnote>
  <w:footnote w:type="continuationSeparator" w:id="0">
    <w:p w:rsidR="00AD0288" w:rsidRDefault="00AD0288" w:rsidP="00E469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1E4" w:rsidRPr="00E469A7" w:rsidRDefault="008671E4" w:rsidP="00E469A7">
    <w:pPr>
      <w:pStyle w:val="ab"/>
    </w:pPr>
    <w:r w:rsidRPr="00E469A7"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5139690</wp:posOffset>
          </wp:positionH>
          <wp:positionV relativeFrom="paragraph">
            <wp:posOffset>-964565</wp:posOffset>
          </wp:positionV>
          <wp:extent cx="1162050" cy="1066800"/>
          <wp:effectExtent l="19050" t="0" r="0" b="0"/>
          <wp:wrapThrough wrapText="bothSides">
            <wp:wrapPolygon edited="0">
              <wp:start x="-354" y="0"/>
              <wp:lineTo x="-354" y="21214"/>
              <wp:lineTo x="21600" y="21214"/>
              <wp:lineTo x="21600" y="0"/>
              <wp:lineTo x="-354" y="0"/>
            </wp:wrapPolygon>
          </wp:wrapThrough>
          <wp:docPr id="2" name="Picture 11" descr="Saxo Bank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Saxo Bank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1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1A2124B3"/>
    <w:multiLevelType w:val="hybridMultilevel"/>
    <w:tmpl w:val="4DF63C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DC51B8"/>
    <w:multiLevelType w:val="hybridMultilevel"/>
    <w:tmpl w:val="78D26F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656EB"/>
    <w:multiLevelType w:val="multilevel"/>
    <w:tmpl w:val="574ED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D8D593F"/>
    <w:multiLevelType w:val="hybridMultilevel"/>
    <w:tmpl w:val="054A3D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882BB2"/>
    <w:multiLevelType w:val="hybridMultilevel"/>
    <w:tmpl w:val="1C4E32C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6FF905C6"/>
    <w:multiLevelType w:val="hybridMultilevel"/>
    <w:tmpl w:val="C660FD56"/>
    <w:lvl w:ilvl="0" w:tplc="314ECAAC">
      <w:numFmt w:val="bullet"/>
      <w:lvlText w:val="•"/>
      <w:lvlJc w:val="left"/>
      <w:pPr>
        <w:ind w:left="720" w:hanging="495"/>
      </w:pPr>
      <w:rPr>
        <w:rFonts w:ascii="Calibri" w:eastAsia="Arial" w:hAnsi="Calibri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45" w:hanging="360"/>
      </w:pPr>
      <w:rPr>
        <w:rFonts w:ascii="Wingdings" w:hAnsi="Wingdings" w:hint="default"/>
      </w:rPr>
    </w:lvl>
  </w:abstractNum>
  <w:abstractNum w:abstractNumId="9">
    <w:nsid w:val="771B1F91"/>
    <w:multiLevelType w:val="hybridMultilevel"/>
    <w:tmpl w:val="8DF8DB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D033484"/>
    <w:multiLevelType w:val="hybridMultilevel"/>
    <w:tmpl w:val="56E026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FB348B"/>
    <w:multiLevelType w:val="hybridMultilevel"/>
    <w:tmpl w:val="E37E01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5714"/>
  </w:hdrShapeDefaults>
  <w:footnotePr>
    <w:footnote w:id="-1"/>
    <w:footnote w:id="0"/>
  </w:footnotePr>
  <w:endnotePr>
    <w:endnote w:id="-1"/>
    <w:endnote w:id="0"/>
  </w:endnotePr>
  <w:compat/>
  <w:rsids>
    <w:rsidRoot w:val="007B63BB"/>
    <w:rsid w:val="000120CA"/>
    <w:rsid w:val="000375E8"/>
    <w:rsid w:val="000428B7"/>
    <w:rsid w:val="0005750F"/>
    <w:rsid w:val="00061470"/>
    <w:rsid w:val="000A69F1"/>
    <w:rsid w:val="000C31CF"/>
    <w:rsid w:val="000D711D"/>
    <w:rsid w:val="000E0D44"/>
    <w:rsid w:val="000F6480"/>
    <w:rsid w:val="00112D1A"/>
    <w:rsid w:val="001151DC"/>
    <w:rsid w:val="00122D6B"/>
    <w:rsid w:val="00126023"/>
    <w:rsid w:val="00156749"/>
    <w:rsid w:val="00167115"/>
    <w:rsid w:val="001A2031"/>
    <w:rsid w:val="001A6B09"/>
    <w:rsid w:val="001C67E5"/>
    <w:rsid w:val="001C7F21"/>
    <w:rsid w:val="001E6619"/>
    <w:rsid w:val="001F6AA7"/>
    <w:rsid w:val="00202382"/>
    <w:rsid w:val="00211CA7"/>
    <w:rsid w:val="00234EA1"/>
    <w:rsid w:val="00242AB0"/>
    <w:rsid w:val="0024394A"/>
    <w:rsid w:val="002A00DA"/>
    <w:rsid w:val="002A7424"/>
    <w:rsid w:val="002B0F14"/>
    <w:rsid w:val="002C3DF2"/>
    <w:rsid w:val="002E597D"/>
    <w:rsid w:val="00315CD2"/>
    <w:rsid w:val="00332ABB"/>
    <w:rsid w:val="00344F80"/>
    <w:rsid w:val="00345973"/>
    <w:rsid w:val="00353FC2"/>
    <w:rsid w:val="00375341"/>
    <w:rsid w:val="003918CD"/>
    <w:rsid w:val="003B0263"/>
    <w:rsid w:val="003D15CA"/>
    <w:rsid w:val="004109D1"/>
    <w:rsid w:val="00421F93"/>
    <w:rsid w:val="004623A1"/>
    <w:rsid w:val="00470016"/>
    <w:rsid w:val="00481907"/>
    <w:rsid w:val="004828BC"/>
    <w:rsid w:val="004B071E"/>
    <w:rsid w:val="004B75F6"/>
    <w:rsid w:val="004D2389"/>
    <w:rsid w:val="004F1636"/>
    <w:rsid w:val="00533EF4"/>
    <w:rsid w:val="00535F81"/>
    <w:rsid w:val="00537D57"/>
    <w:rsid w:val="00584552"/>
    <w:rsid w:val="005B017A"/>
    <w:rsid w:val="005C7259"/>
    <w:rsid w:val="005E4B14"/>
    <w:rsid w:val="00620D3D"/>
    <w:rsid w:val="00624B8C"/>
    <w:rsid w:val="006274BB"/>
    <w:rsid w:val="00633BDA"/>
    <w:rsid w:val="00633C82"/>
    <w:rsid w:val="006466BA"/>
    <w:rsid w:val="00656F3C"/>
    <w:rsid w:val="006615CD"/>
    <w:rsid w:val="006620FD"/>
    <w:rsid w:val="006708EE"/>
    <w:rsid w:val="00672963"/>
    <w:rsid w:val="00674A63"/>
    <w:rsid w:val="0068066C"/>
    <w:rsid w:val="00683E48"/>
    <w:rsid w:val="0068466B"/>
    <w:rsid w:val="006913A7"/>
    <w:rsid w:val="006A1EF3"/>
    <w:rsid w:val="006C5B26"/>
    <w:rsid w:val="006E4FB7"/>
    <w:rsid w:val="006E5544"/>
    <w:rsid w:val="006F2D14"/>
    <w:rsid w:val="00734763"/>
    <w:rsid w:val="00740623"/>
    <w:rsid w:val="007452BF"/>
    <w:rsid w:val="00752D60"/>
    <w:rsid w:val="00781194"/>
    <w:rsid w:val="0079008B"/>
    <w:rsid w:val="00791C54"/>
    <w:rsid w:val="007929D8"/>
    <w:rsid w:val="007934EB"/>
    <w:rsid w:val="007B1311"/>
    <w:rsid w:val="007B19F4"/>
    <w:rsid w:val="007B63BB"/>
    <w:rsid w:val="007C04ED"/>
    <w:rsid w:val="007E57ED"/>
    <w:rsid w:val="007F5DD2"/>
    <w:rsid w:val="00813CE7"/>
    <w:rsid w:val="008671E4"/>
    <w:rsid w:val="008A2E0E"/>
    <w:rsid w:val="008A59C6"/>
    <w:rsid w:val="008C03E6"/>
    <w:rsid w:val="008C0923"/>
    <w:rsid w:val="008C3400"/>
    <w:rsid w:val="008D4966"/>
    <w:rsid w:val="00910179"/>
    <w:rsid w:val="00915267"/>
    <w:rsid w:val="0091714E"/>
    <w:rsid w:val="009241E7"/>
    <w:rsid w:val="009370BE"/>
    <w:rsid w:val="00962740"/>
    <w:rsid w:val="00973210"/>
    <w:rsid w:val="009900AA"/>
    <w:rsid w:val="009903BD"/>
    <w:rsid w:val="00993033"/>
    <w:rsid w:val="009A0279"/>
    <w:rsid w:val="009A73B1"/>
    <w:rsid w:val="009B33C3"/>
    <w:rsid w:val="009B3B09"/>
    <w:rsid w:val="009E76F8"/>
    <w:rsid w:val="009F0697"/>
    <w:rsid w:val="00A0747F"/>
    <w:rsid w:val="00A2519A"/>
    <w:rsid w:val="00A30699"/>
    <w:rsid w:val="00A45134"/>
    <w:rsid w:val="00A871E1"/>
    <w:rsid w:val="00A87A84"/>
    <w:rsid w:val="00AD0288"/>
    <w:rsid w:val="00AD4381"/>
    <w:rsid w:val="00AD6955"/>
    <w:rsid w:val="00AF04FF"/>
    <w:rsid w:val="00AF26A2"/>
    <w:rsid w:val="00B03AAE"/>
    <w:rsid w:val="00B11261"/>
    <w:rsid w:val="00B1707F"/>
    <w:rsid w:val="00B20EA0"/>
    <w:rsid w:val="00B45180"/>
    <w:rsid w:val="00B53308"/>
    <w:rsid w:val="00B55E10"/>
    <w:rsid w:val="00B70059"/>
    <w:rsid w:val="00B71345"/>
    <w:rsid w:val="00B83369"/>
    <w:rsid w:val="00BC1556"/>
    <w:rsid w:val="00BC3A84"/>
    <w:rsid w:val="00BC554B"/>
    <w:rsid w:val="00BC5E62"/>
    <w:rsid w:val="00BC650F"/>
    <w:rsid w:val="00BC7552"/>
    <w:rsid w:val="00BD3B56"/>
    <w:rsid w:val="00BE0FE8"/>
    <w:rsid w:val="00BE3208"/>
    <w:rsid w:val="00BE457E"/>
    <w:rsid w:val="00C032DF"/>
    <w:rsid w:val="00C109BF"/>
    <w:rsid w:val="00C477EF"/>
    <w:rsid w:val="00C56197"/>
    <w:rsid w:val="00C65214"/>
    <w:rsid w:val="00C7099F"/>
    <w:rsid w:val="00CB3CCD"/>
    <w:rsid w:val="00CB42D2"/>
    <w:rsid w:val="00CB4FDD"/>
    <w:rsid w:val="00CC51DF"/>
    <w:rsid w:val="00CC6864"/>
    <w:rsid w:val="00CD42CC"/>
    <w:rsid w:val="00D149DA"/>
    <w:rsid w:val="00D26279"/>
    <w:rsid w:val="00D561DB"/>
    <w:rsid w:val="00D578D7"/>
    <w:rsid w:val="00D63E8E"/>
    <w:rsid w:val="00D652DB"/>
    <w:rsid w:val="00D73231"/>
    <w:rsid w:val="00DA2C37"/>
    <w:rsid w:val="00DD7B24"/>
    <w:rsid w:val="00DE10AB"/>
    <w:rsid w:val="00DE32A5"/>
    <w:rsid w:val="00DE6DF2"/>
    <w:rsid w:val="00E42EFF"/>
    <w:rsid w:val="00E44D91"/>
    <w:rsid w:val="00E469A7"/>
    <w:rsid w:val="00E50332"/>
    <w:rsid w:val="00E73E68"/>
    <w:rsid w:val="00E820B2"/>
    <w:rsid w:val="00E83018"/>
    <w:rsid w:val="00E93616"/>
    <w:rsid w:val="00EC2972"/>
    <w:rsid w:val="00EC62D2"/>
    <w:rsid w:val="00ED09FC"/>
    <w:rsid w:val="00ED5F59"/>
    <w:rsid w:val="00EE06E6"/>
    <w:rsid w:val="00EF33BA"/>
    <w:rsid w:val="00F13B59"/>
    <w:rsid w:val="00F16C2F"/>
    <w:rsid w:val="00F22BE5"/>
    <w:rsid w:val="00FA4646"/>
    <w:rsid w:val="00FB2502"/>
    <w:rsid w:val="00FF0B99"/>
    <w:rsid w:val="00FF2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57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2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B63BB"/>
    <w:rPr>
      <w:color w:val="0000FF"/>
      <w:u w:val="single"/>
    </w:rPr>
  </w:style>
  <w:style w:type="character" w:styleId="a4">
    <w:name w:val="Strong"/>
    <w:qFormat/>
    <w:rsid w:val="007B63BB"/>
    <w:rPr>
      <w:b/>
      <w:bCs/>
    </w:rPr>
  </w:style>
  <w:style w:type="paragraph" w:styleId="a5">
    <w:name w:val="Normal (Web)"/>
    <w:basedOn w:val="a"/>
    <w:unhideWhenUsed/>
    <w:rsid w:val="007B63BB"/>
    <w:pPr>
      <w:spacing w:before="280" w:after="28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7B63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7B63BB"/>
    <w:rPr>
      <w:rFonts w:ascii="Tahoma" w:hAnsi="Tahoma" w:cs="Tahoma"/>
      <w:sz w:val="16"/>
      <w:szCs w:val="16"/>
    </w:rPr>
  </w:style>
  <w:style w:type="paragraph" w:customStyle="1" w:styleId="a8">
    <w:name w:val="Заголовок"/>
    <w:basedOn w:val="a"/>
    <w:next w:val="a9"/>
    <w:rsid w:val="007B63BB"/>
    <w:pPr>
      <w:keepNext/>
      <w:widowControl w:val="0"/>
      <w:suppressAutoHyphens/>
      <w:spacing w:before="240" w:after="120" w:line="240" w:lineRule="auto"/>
    </w:pPr>
    <w:rPr>
      <w:rFonts w:ascii="Arial" w:eastAsia="Microsoft YaHei" w:hAnsi="Arial" w:cs="Mangal"/>
      <w:kern w:val="1"/>
      <w:sz w:val="28"/>
      <w:szCs w:val="28"/>
      <w:lang w:eastAsia="hi-IN" w:bidi="hi-IN"/>
    </w:rPr>
  </w:style>
  <w:style w:type="paragraph" w:styleId="a9">
    <w:name w:val="Body Text"/>
    <w:basedOn w:val="a"/>
    <w:link w:val="aa"/>
    <w:uiPriority w:val="99"/>
    <w:semiHidden/>
    <w:unhideWhenUsed/>
    <w:rsid w:val="007B63BB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7B63BB"/>
  </w:style>
  <w:style w:type="paragraph" w:styleId="ab">
    <w:name w:val="header"/>
    <w:basedOn w:val="a"/>
    <w:link w:val="ac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E469A7"/>
  </w:style>
  <w:style w:type="paragraph" w:styleId="ad">
    <w:name w:val="footer"/>
    <w:basedOn w:val="a"/>
    <w:link w:val="ae"/>
    <w:uiPriority w:val="99"/>
    <w:semiHidden/>
    <w:unhideWhenUsed/>
    <w:rsid w:val="00E469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E469A7"/>
  </w:style>
  <w:style w:type="paragraph" w:styleId="af">
    <w:name w:val="List"/>
    <w:basedOn w:val="a9"/>
    <w:rsid w:val="00DA2C37"/>
    <w:pPr>
      <w:widowControl w:val="0"/>
      <w:suppressAutoHyphens/>
      <w:spacing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WW8Num1z1">
    <w:name w:val="WW8Num1z1"/>
    <w:rsid w:val="005C7259"/>
  </w:style>
  <w:style w:type="paragraph" w:customStyle="1" w:styleId="af0">
    <w:name w:val="Горизонтальная линия"/>
    <w:basedOn w:val="a"/>
    <w:next w:val="a9"/>
    <w:rsid w:val="001F6AA7"/>
    <w:pPr>
      <w:widowControl w:val="0"/>
      <w:suppressLineNumbers/>
      <w:pBdr>
        <w:bottom w:val="double" w:sz="1" w:space="0" w:color="808080"/>
      </w:pBdr>
      <w:suppressAutoHyphens/>
      <w:spacing w:after="283" w:line="240" w:lineRule="auto"/>
    </w:pPr>
    <w:rPr>
      <w:rFonts w:ascii="Times New Roman" w:eastAsia="SimSun" w:hAnsi="Times New Roman" w:cs="Mangal"/>
      <w:kern w:val="1"/>
      <w:sz w:val="12"/>
      <w:szCs w:val="12"/>
      <w:lang w:eastAsia="hi-IN" w:bidi="hi-IN"/>
    </w:rPr>
  </w:style>
  <w:style w:type="paragraph" w:styleId="af1">
    <w:name w:val="List Paragraph"/>
    <w:basedOn w:val="a"/>
    <w:qFormat/>
    <w:rsid w:val="00915267"/>
    <w:pPr>
      <w:ind w:left="720"/>
      <w:contextualSpacing/>
    </w:pPr>
  </w:style>
  <w:style w:type="paragraph" w:customStyle="1" w:styleId="Body">
    <w:name w:val="Body"/>
    <w:rsid w:val="00AD6955"/>
    <w:pPr>
      <w:suppressAutoHyphens/>
    </w:pPr>
    <w:rPr>
      <w:rFonts w:ascii="Calibri" w:eastAsia="Calibri" w:hAnsi="Calibri" w:cs="Calibri"/>
      <w:color w:val="000000"/>
      <w:kern w:val="1"/>
      <w:u w:color="000000"/>
      <w:lang w:val="en-US" w:eastAsia="ar-SA"/>
    </w:rPr>
  </w:style>
  <w:style w:type="paragraph" w:customStyle="1" w:styleId="af2">
    <w:name w:val="По умолчанию"/>
    <w:rsid w:val="006708E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 Unicode MS" w:eastAsia="Arial Unicode MS" w:hAnsi="Helvetica" w:cs="Arial Unicode MS"/>
      <w:color w:val="000000"/>
      <w:bdr w:val="nil"/>
      <w:lang w:eastAsia="ru-RU"/>
    </w:rPr>
  </w:style>
  <w:style w:type="character" w:customStyle="1" w:styleId="Hyperlink0">
    <w:name w:val="Hyperlink.0"/>
    <w:basedOn w:val="a3"/>
    <w:rsid w:val="006708E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9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0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radingfloor.com/posts/now-we-have-an-iran-deal-whats-next-for-oil-5558945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3.jpe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hyperlink" Target="https://www.tradingfloor.com/posts/gold-looks-toward-the-fed-for-direction-5556438" TargetMode="External"/><Relationship Id="rId7" Type="http://schemas.openxmlformats.org/officeDocument/2006/relationships/hyperlink" Target="http://ru.saxobank.com/" TargetMode="External"/><Relationship Id="rId12" Type="http://schemas.openxmlformats.org/officeDocument/2006/relationships/hyperlink" Target="https://www.tradingfloor.com/posts/from-the-floor-september-fed-hike-priced-out-5565449" TargetMode="External"/><Relationship Id="rId17" Type="http://schemas.openxmlformats.org/officeDocument/2006/relationships/hyperlink" Target="https://www.tradingfloor.com/macro/opec" TargetMode="External"/><Relationship Id="rId25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tradingfloor.com/subjects/wti-crude-oil" TargetMode="External"/><Relationship Id="rId20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radingfloor.com/posts/from-the-floor-greece-capitulates-what-now-5539089" TargetMode="External"/><Relationship Id="rId24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hyperlink" Target="https://www.tradingfloor.com/posts/infograph-what-iran-deal-means-for-oil-5557984" TargetMode="External"/><Relationship Id="rId23" Type="http://schemas.openxmlformats.org/officeDocument/2006/relationships/hyperlink" Target="https://www.tradingfloor.com/forex/xauusd" TargetMode="External"/><Relationship Id="rId10" Type="http://schemas.openxmlformats.org/officeDocument/2006/relationships/hyperlink" Target="https://www.tradingfloor.com/commodities/cattle" TargetMode="External"/><Relationship Id="rId19" Type="http://schemas.openxmlformats.org/officeDocument/2006/relationships/hyperlink" Target="https://www.tradingfloor.com/places/ira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yperlink" Target="https://www.tradingfloor.com/commodities/cocoa" TargetMode="External"/><Relationship Id="rId22" Type="http://schemas.openxmlformats.org/officeDocument/2006/relationships/image" Target="media/image5.jpeg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7.png"/><Relationship Id="rId1" Type="http://schemas.openxmlformats.org/officeDocument/2006/relationships/hyperlink" Target="http://ru.saxobank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1686</Words>
  <Characters>9612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Grayling</Company>
  <LinksUpToDate>false</LinksUpToDate>
  <CharactersWithSpaces>11276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Galina Beltyukova</dc:creator>
  <cp:lastModifiedBy>igrodzinskaya</cp:lastModifiedBy>
  <cp:revision>2</cp:revision>
  <cp:lastPrinted>2015-07-20T07:35:00Z</cp:lastPrinted>
  <dcterms:created xsi:type="dcterms:W3CDTF">2015-07-20T11:28:00Z</dcterms:created>
  <dcterms:modified xsi:type="dcterms:W3CDTF">2015-07-20T11:28:00Z</dcterms:modified>
</cp:coreProperties>
</file>