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A2" w:rsidRDefault="001D7AA2" w:rsidP="001D7AA2">
      <w:pPr>
        <w:pStyle w:val="a3"/>
      </w:pPr>
      <w:r w:rsidRPr="001D7AA2">
        <w:rPr>
          <w:b/>
          <w:bCs/>
        </w:rPr>
        <w:t>Российский рынок акций завершил неделю на отрицательной ноте.</w:t>
      </w:r>
      <w:r w:rsidRPr="001D7AA2">
        <w:t xml:space="preserve"> Прошедшая неделя для российского рынка акций завершилась в существенном минусе – индекс ММВБ снизился на 1,71%, индекс РТС – также на 1,71%. Снижение ключевых индексов российского фондового рынка произошло ввиду закрытия реестров на получение дивидендов по ряду компаний нефтегазового (</w:t>
      </w:r>
      <w:r>
        <w:t>«</w:t>
      </w:r>
      <w:r w:rsidRPr="001D7AA2">
        <w:t>Газпром</w:t>
      </w:r>
      <w:r>
        <w:t>»</w:t>
      </w:r>
      <w:r w:rsidRPr="001D7AA2">
        <w:t xml:space="preserve">, </w:t>
      </w:r>
      <w:r>
        <w:t>«</w:t>
      </w:r>
      <w:proofErr w:type="spellStart"/>
      <w:r w:rsidRPr="001D7AA2">
        <w:t>Башнефть</w:t>
      </w:r>
      <w:proofErr w:type="spellEnd"/>
      <w:r>
        <w:t>»</w:t>
      </w:r>
      <w:r w:rsidRPr="001D7AA2">
        <w:t xml:space="preserve">, </w:t>
      </w:r>
      <w:r>
        <w:t>«</w:t>
      </w:r>
      <w:proofErr w:type="spellStart"/>
      <w:r w:rsidRPr="001D7AA2">
        <w:t>Сургутнефтегаз</w:t>
      </w:r>
      <w:proofErr w:type="spellEnd"/>
      <w:r>
        <w:t>»</w:t>
      </w:r>
      <w:r w:rsidRPr="001D7AA2">
        <w:t xml:space="preserve">, ТНК-ВР, </w:t>
      </w:r>
      <w:r>
        <w:t>«</w:t>
      </w:r>
      <w:proofErr w:type="spellStart"/>
      <w:r w:rsidRPr="001D7AA2">
        <w:t>Татнефть</w:t>
      </w:r>
      <w:proofErr w:type="spellEnd"/>
      <w:r>
        <w:t>»</w:t>
      </w:r>
      <w:r w:rsidRPr="001D7AA2">
        <w:t xml:space="preserve">) и банковского (ВТБ) сектора. Кроме того, на динамику акций отдельных бумаг повлиял пересмотр базы расчета MSCI </w:t>
      </w:r>
      <w:proofErr w:type="spellStart"/>
      <w:r w:rsidRPr="001D7AA2">
        <w:t>Russia</w:t>
      </w:r>
      <w:proofErr w:type="spellEnd"/>
      <w:r w:rsidRPr="001D7AA2">
        <w:t xml:space="preserve">. В результате наихудшие результаты на прошедшей неделе продемонстрировали отраслевой индекс ММВБ металлургия (-5,36%) на фоне исключения бумаг НЛМК (-10,68%) и </w:t>
      </w:r>
      <w:r>
        <w:t>«</w:t>
      </w:r>
      <w:proofErr w:type="spellStart"/>
      <w:r w:rsidRPr="001D7AA2">
        <w:t>Мечел</w:t>
      </w:r>
      <w:proofErr w:type="spellEnd"/>
      <w:r>
        <w:t>»</w:t>
      </w:r>
      <w:r w:rsidRPr="001D7AA2">
        <w:t xml:space="preserve"> (-11,70%) из базы расчета MSCI </w:t>
      </w:r>
      <w:proofErr w:type="spellStart"/>
      <w:r w:rsidRPr="001D7AA2">
        <w:t>Russia</w:t>
      </w:r>
      <w:proofErr w:type="spellEnd"/>
      <w:r w:rsidRPr="001D7AA2">
        <w:t xml:space="preserve">,  ММВБ нефть и газ (-1,94%) и ММВБ финансы (-2,24%). </w:t>
      </w:r>
    </w:p>
    <w:p w:rsidR="001D7AA2" w:rsidRPr="001D7AA2" w:rsidRDefault="001D7AA2" w:rsidP="001D7AA2">
      <w:pPr>
        <w:pStyle w:val="a3"/>
      </w:pPr>
      <w:r w:rsidRPr="001D7AA2">
        <w:t xml:space="preserve">Помимо закрытия реестров и исключения части бумаг из MSCI </w:t>
      </w:r>
      <w:proofErr w:type="spellStart"/>
      <w:r w:rsidRPr="001D7AA2">
        <w:t>Russia</w:t>
      </w:r>
      <w:proofErr w:type="spellEnd"/>
      <w:r w:rsidRPr="001D7AA2">
        <w:t xml:space="preserve">, участники рынка, возможно, были расстроены действиям ЦБ РФ, принявшим решение оставить без изменения уровень ставки рефинансирования и процентных ставок по основным операциям предоставления и </w:t>
      </w:r>
      <w:proofErr w:type="spellStart"/>
      <w:r w:rsidRPr="001D7AA2">
        <w:t>абсорбирования</w:t>
      </w:r>
      <w:proofErr w:type="spellEnd"/>
      <w:r w:rsidRPr="001D7AA2">
        <w:t xml:space="preserve"> ликвидности. Среди положительных новостей для российского фондового рынка можно отметить приток капитала в фонды, инвестирующие в акции РФ, который продолжается 2 неделю подряд. Приток капитала в фонды, инвестирующие в акции РФ, за неделю с 9 по 15 мая составил $339 млн. против $119 млн. притока неделей ранее, по данным </w:t>
      </w:r>
      <w:proofErr w:type="spellStart"/>
      <w:r w:rsidRPr="001D7AA2">
        <w:t>Emerging</w:t>
      </w:r>
      <w:proofErr w:type="spellEnd"/>
      <w:r w:rsidRPr="001D7AA2">
        <w:t xml:space="preserve"> </w:t>
      </w:r>
      <w:proofErr w:type="spellStart"/>
      <w:r w:rsidRPr="001D7AA2">
        <w:t>Portfolio</w:t>
      </w:r>
      <w:proofErr w:type="spellEnd"/>
      <w:r w:rsidRPr="001D7AA2">
        <w:t xml:space="preserve"> </w:t>
      </w:r>
      <w:proofErr w:type="spellStart"/>
      <w:r w:rsidRPr="001D7AA2">
        <w:t>Fund</w:t>
      </w:r>
      <w:proofErr w:type="spellEnd"/>
      <w:r w:rsidRPr="001D7AA2">
        <w:t xml:space="preserve"> </w:t>
      </w:r>
      <w:proofErr w:type="spellStart"/>
      <w:r w:rsidRPr="001D7AA2">
        <w:t>Research</w:t>
      </w:r>
      <w:proofErr w:type="spellEnd"/>
      <w:r w:rsidRPr="001D7AA2">
        <w:t xml:space="preserve"> (EPFR). </w:t>
      </w:r>
    </w:p>
    <w:p w:rsidR="001D7AA2" w:rsidRPr="001D7AA2" w:rsidRDefault="001D7AA2" w:rsidP="001D7AA2">
      <w:pPr>
        <w:pStyle w:val="a3"/>
      </w:pPr>
      <w:r w:rsidRPr="001D7AA2">
        <w:rPr>
          <w:b/>
          <w:bCs/>
        </w:rPr>
        <w:t>Статистика и решения финансовых органов на прошедшей неделе.</w:t>
      </w:r>
      <w:r w:rsidRPr="001D7AA2">
        <w:t xml:space="preserve"> На внешних рынках на прошедшей неделе основное внимание было приковано к статистике в США по рынку труда, потреблению, инфляции, </w:t>
      </w:r>
      <w:proofErr w:type="spellStart"/>
      <w:r w:rsidRPr="001D7AA2">
        <w:t>промпроизводству</w:t>
      </w:r>
      <w:proofErr w:type="spellEnd"/>
      <w:r w:rsidRPr="001D7AA2">
        <w:t xml:space="preserve"> и строительству  жилья. Данные носят смешанный характер, что в целом говорит в пользу продолжения политики ФРС по количественному смягчению (покупка </w:t>
      </w:r>
      <w:proofErr w:type="spellStart"/>
      <w:r w:rsidRPr="001D7AA2">
        <w:t>гособлигаций</w:t>
      </w:r>
      <w:proofErr w:type="spellEnd"/>
      <w:r w:rsidRPr="001D7AA2">
        <w:t xml:space="preserve"> и ипотечных бумаг на $85 млрд. в месяц). Между тем, на прошлой неделе продолжили поступать заявления от глав региональных банков ФРС о целесообразности сокращения объемов покупки облигаций в ближайшие месяцы. </w:t>
      </w:r>
    </w:p>
    <w:p w:rsidR="001D7AA2" w:rsidRPr="001D7AA2" w:rsidRDefault="001D7AA2" w:rsidP="001D7AA2">
      <w:pPr>
        <w:pStyle w:val="a3"/>
      </w:pPr>
      <w:r w:rsidRPr="001D7AA2">
        <w:t xml:space="preserve">В конце недели были опубликованы предварительные данные по индексу потребительского доверия  </w:t>
      </w:r>
      <w:proofErr w:type="spellStart"/>
      <w:r w:rsidRPr="001D7AA2">
        <w:t>Мичиганского</w:t>
      </w:r>
      <w:proofErr w:type="spellEnd"/>
      <w:r w:rsidRPr="001D7AA2">
        <w:t xml:space="preserve"> университета в США, которые превысили ожидания рынка. Хорошие данные по данному индикатору свидетельствуют о наличии стабильного спроса и положительных тенденциях в экономике США. </w:t>
      </w:r>
    </w:p>
    <w:p w:rsidR="001D7AA2" w:rsidRPr="001D7AA2" w:rsidRDefault="001D7AA2" w:rsidP="001D7AA2">
      <w:pPr>
        <w:pStyle w:val="a3"/>
      </w:pPr>
      <w:r w:rsidRPr="001D7AA2">
        <w:t xml:space="preserve">В то же время вышедшие данные в течение недели показали, что ВВП еврозоны, Германии и Франции оказались </w:t>
      </w:r>
      <w:r>
        <w:t xml:space="preserve">хуже </w:t>
      </w:r>
      <w:proofErr w:type="spellStart"/>
      <w:proofErr w:type="gramStart"/>
      <w:r>
        <w:t>консенсус-прогнозов</w:t>
      </w:r>
      <w:proofErr w:type="spellEnd"/>
      <w:proofErr w:type="gramEnd"/>
      <w:r>
        <w:t>. Однако</w:t>
      </w:r>
      <w:r w:rsidRPr="001D7AA2">
        <w:t xml:space="preserve"> в конце недели позитивные новости все же пришли из Европы - продажи автомобилей в Европе в апреле показали рост впервые за последние 19 месяцев за счет высоких продаж, наблюдавшихся в Великобритании и восстановлению роста в Германии. </w:t>
      </w:r>
    </w:p>
    <w:p w:rsidR="001D7AA2" w:rsidRPr="001D7AA2" w:rsidRDefault="001D7AA2" w:rsidP="001D7AA2">
      <w:pPr>
        <w:pStyle w:val="a3"/>
      </w:pPr>
      <w:r w:rsidRPr="001D7AA2">
        <w:rPr>
          <w:b/>
          <w:bCs/>
        </w:rPr>
        <w:t>Основные события в США и Европе для рынка в течение предстоящей недели.</w:t>
      </w:r>
      <w:r w:rsidRPr="001D7AA2">
        <w:t xml:space="preserve"> 22 мая состоится публикация протоколов заседания ФРС от 1 мая, в которых будет изложена оценка состояния экономики США и перспектив дальнейшей политики </w:t>
      </w:r>
      <w:proofErr w:type="spellStart"/>
      <w:r w:rsidRPr="001D7AA2">
        <w:t>центробанка</w:t>
      </w:r>
      <w:proofErr w:type="spellEnd"/>
      <w:r w:rsidRPr="001D7AA2">
        <w:t>. В тот же день должен выступить глава ФРС США с эко</w:t>
      </w:r>
      <w:r>
        <w:t>номическими прогнозами.  19 мая</w:t>
      </w:r>
      <w:r w:rsidRPr="001D7AA2">
        <w:t xml:space="preserve"> истек срок, установленный парламенту США по повышению лимита госдолга. В результате лимит по госдолгу установлен без повышения на уровне 16,4 триллиона долларов. Ранее данный вопрос вызывал определенные опасения у участников рынка, однако, согласно заявлениям секретаря Казначейства, потолок госдолга не будет превышен еще несколько месяцев, что придает определенную “гибкость” в решении данного вопроса, тем самым обеспечивая нейтральный фон внешним рынкам. </w:t>
      </w:r>
    </w:p>
    <w:p w:rsidR="001D7AA2" w:rsidRPr="001D7AA2" w:rsidRDefault="001D7AA2" w:rsidP="001D7AA2">
      <w:pPr>
        <w:pStyle w:val="a3"/>
      </w:pPr>
      <w:r w:rsidRPr="001D7AA2">
        <w:lastRenderedPageBreak/>
        <w:t xml:space="preserve">Кроме того, 23 мая участники рынка обратят внимание на публикуемые предварительные данные по индексу производственной активности в США. Среди наиболее важной </w:t>
      </w:r>
      <w:proofErr w:type="spellStart"/>
      <w:r w:rsidRPr="001D7AA2">
        <w:t>макростатистики</w:t>
      </w:r>
      <w:proofErr w:type="spellEnd"/>
      <w:r w:rsidRPr="001D7AA2">
        <w:t xml:space="preserve"> США должны выйти данные по заказам на товары длительного пользования (24 мая) и по продажам жилья (22-23 мая), по которым можно будет судить о динамике и состоянии экономики США. </w:t>
      </w:r>
      <w:proofErr w:type="gramStart"/>
      <w:r w:rsidRPr="001D7AA2">
        <w:t xml:space="preserve">В течение недели планируется публикация предварительных данных по наиболее важной </w:t>
      </w:r>
      <w:proofErr w:type="spellStart"/>
      <w:r w:rsidRPr="001D7AA2">
        <w:t>макростатистике</w:t>
      </w:r>
      <w:proofErr w:type="spellEnd"/>
      <w:r w:rsidRPr="001D7AA2">
        <w:t xml:space="preserve"> в Европе (индекс потребительского доверия в Еврозоне, Германии; индекс деловой активности в производственном секторе Еврозоны, Германии) и  в Китае (индекс деловой активности в производственном секторе Китая, рассчитываемый банком HSBC). </w:t>
      </w:r>
      <w:proofErr w:type="gramEnd"/>
    </w:p>
    <w:p w:rsidR="001D7AA2" w:rsidRPr="001D7AA2" w:rsidRDefault="001D7AA2" w:rsidP="001D7AA2">
      <w:pPr>
        <w:pStyle w:val="a3"/>
      </w:pPr>
      <w:r w:rsidRPr="001D7AA2">
        <w:rPr>
          <w:b/>
          <w:bCs/>
        </w:rPr>
        <w:t xml:space="preserve">Корпоративные события в российских компаниях на неделе. </w:t>
      </w:r>
      <w:r w:rsidRPr="001D7AA2">
        <w:t>"Северсталь" (20 мая), "</w:t>
      </w:r>
      <w:proofErr w:type="spellStart"/>
      <w:r w:rsidRPr="001D7AA2">
        <w:t>Ростелеком</w:t>
      </w:r>
      <w:proofErr w:type="spellEnd"/>
      <w:r w:rsidRPr="001D7AA2">
        <w:t xml:space="preserve">" (21 мая), Х5 </w:t>
      </w:r>
      <w:proofErr w:type="spellStart"/>
      <w:r w:rsidRPr="001D7AA2">
        <w:t>Retail</w:t>
      </w:r>
      <w:proofErr w:type="spellEnd"/>
      <w:r w:rsidRPr="001D7AA2">
        <w:t xml:space="preserve"> </w:t>
      </w:r>
      <w:proofErr w:type="spellStart"/>
      <w:r w:rsidRPr="001D7AA2">
        <w:t>Group</w:t>
      </w:r>
      <w:proofErr w:type="spellEnd"/>
      <w:r w:rsidRPr="001D7AA2">
        <w:t xml:space="preserve"> (21 мая), банк "Возрождение" (23 мая) и "Кузбасская топливная компания" (23 мая) опубликуют финансовую отчетность по МСФО за 1 квартал 2013 года, пройдут закрытия реестров для участия в ГОСА "Московской биржи" и АФК "Система", «Мегафона» (21 мая). </w:t>
      </w:r>
    </w:p>
    <w:p w:rsidR="001D7AA2" w:rsidRDefault="001D7AA2" w:rsidP="001D7AA2">
      <w:r w:rsidRPr="001D7AA2">
        <w:rPr>
          <w:b/>
          <w:bCs/>
        </w:rPr>
        <w:t>Прогноз на открытие.</w:t>
      </w:r>
      <w:r w:rsidRPr="001D7AA2">
        <w:t xml:space="preserve"> Сегодня мы ожидаем позитивного открытия российского рынка на фоне положительного завершения пятничных торгов на фондовом рынке США (S&amp;P 500 (+1,01%)) и позитивной динамики азиатских рынков сегодня утром (MSCI </w:t>
      </w:r>
      <w:proofErr w:type="spellStart"/>
      <w:r w:rsidRPr="001D7AA2">
        <w:t>Asia</w:t>
      </w:r>
      <w:proofErr w:type="spellEnd"/>
      <w:r w:rsidRPr="001D7AA2">
        <w:t xml:space="preserve"> </w:t>
      </w:r>
      <w:proofErr w:type="spellStart"/>
      <w:r w:rsidRPr="001D7AA2">
        <w:t>Pacific</w:t>
      </w:r>
      <w:proofErr w:type="spellEnd"/>
      <w:r w:rsidRPr="001D7AA2">
        <w:t xml:space="preserve"> (+1,3%)). Основные внутренние события дня – закрытие реестров для получения ежегодных дивидендов у АФК "Система" и "Московской биржи". Исходя из информации по решению СД компаний, размер дивиденда АФК "Система" составит 0,96 руб. на акцию, а "Московской биржи" – 1,22 руб. на акцию. После закрытия реестра вероятно снижение котировок акций данных компаний как минимум на величину дивидендов. </w:t>
      </w:r>
    </w:p>
    <w:p w:rsidR="001D7AA2" w:rsidRDefault="001D7AA2" w:rsidP="001D7AA2"/>
    <w:p w:rsidR="0081745B" w:rsidRDefault="001D7AA2" w:rsidP="001D7AA2">
      <w:r w:rsidRPr="001D7AA2">
        <w:t xml:space="preserve">В течение недели российский фондовый рынок будет реагировать на комментарии ФРС относительно состояния экономики США и на отношение руководства </w:t>
      </w:r>
      <w:proofErr w:type="spellStart"/>
      <w:r w:rsidRPr="001D7AA2">
        <w:t>центробанка</w:t>
      </w:r>
      <w:proofErr w:type="spellEnd"/>
      <w:r w:rsidRPr="001D7AA2">
        <w:t xml:space="preserve"> к продолжению мягкой монетарной политики. В случае подтверждения некоторых сигналов на возможное сокращение программы по количествен</w:t>
      </w:r>
      <w:r>
        <w:t>ному смягчению</w:t>
      </w:r>
      <w:r w:rsidRPr="001D7AA2">
        <w:t xml:space="preserve"> на внешних рынках может состояться коррекция, что неизбежно отразится и на российском фондовом рынке. </w:t>
      </w:r>
      <w:r w:rsidRPr="001D7AA2">
        <w:br/>
        <w:t xml:space="preserve">  </w:t>
      </w:r>
      <w:r w:rsidRPr="001D7AA2">
        <w:br/>
        <w:t xml:space="preserve">Александр </w:t>
      </w:r>
      <w:proofErr w:type="spellStart"/>
      <w:r w:rsidRPr="001D7AA2">
        <w:t>Морин</w:t>
      </w:r>
      <w:proofErr w:type="spellEnd"/>
      <w:r w:rsidRPr="001D7AA2">
        <w:t>,</w:t>
      </w:r>
      <w:r>
        <w:t xml:space="preserve"> </w:t>
      </w:r>
      <w:r w:rsidRPr="001D7AA2">
        <w:t>аналитик</w:t>
      </w:r>
      <w:r>
        <w:t xml:space="preserve"> </w:t>
      </w:r>
      <w:r w:rsidRPr="001D7AA2">
        <w:t>ООО "СОВЛИНК"</w:t>
      </w:r>
      <w:r>
        <w:t xml:space="preserve">. </w:t>
      </w:r>
      <w:r w:rsidRPr="001D7AA2">
        <w:br/>
      </w:r>
    </w:p>
    <w:p w:rsidR="001D7AA2" w:rsidRDefault="001D7AA2" w:rsidP="001D7AA2"/>
    <w:p w:rsidR="001D7AA2" w:rsidRDefault="001D7AA2" w:rsidP="001D7AA2"/>
    <w:sectPr w:rsidR="001D7AA2" w:rsidSect="0081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AA2"/>
    <w:rsid w:val="001D7AA2"/>
    <w:rsid w:val="0081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A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AA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834</Words>
  <Characters>4755</Characters>
  <Application>Microsoft Office Word</Application>
  <DocSecurity>0</DocSecurity>
  <Lines>39</Lines>
  <Paragraphs>11</Paragraphs>
  <ScaleCrop>false</ScaleCrop>
  <Company>Finam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2013-05-20T08:03:00Z</dcterms:created>
  <dcterms:modified xsi:type="dcterms:W3CDTF">2013-05-20T08:12:00Z</dcterms:modified>
</cp:coreProperties>
</file>