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2" w:type="dxa"/>
        <w:tblCellSpacing w:w="0" w:type="dxa"/>
        <w:tblCellMar>
          <w:left w:w="0" w:type="dxa"/>
          <w:right w:w="0" w:type="dxa"/>
        </w:tblCellMar>
        <w:tblLook w:val="04A0" w:firstRow="1" w:lastRow="0" w:firstColumn="1" w:lastColumn="0" w:noHBand="0" w:noVBand="1"/>
      </w:tblPr>
      <w:tblGrid>
        <w:gridCol w:w="6"/>
        <w:gridCol w:w="10530"/>
        <w:gridCol w:w="6"/>
      </w:tblGrid>
      <w:tr w:rsidR="00FE5570" w:rsidTr="00FE5570">
        <w:trPr>
          <w:tblCellSpacing w:w="0" w:type="dxa"/>
        </w:trPr>
        <w:tc>
          <w:tcPr>
            <w:tcW w:w="0" w:type="auto"/>
            <w:vAlign w:val="center"/>
            <w:hideMark/>
          </w:tcPr>
          <w:p w:rsidR="00FE5570" w:rsidRDefault="00FE5570"/>
        </w:tc>
        <w:tc>
          <w:tcPr>
            <w:tcW w:w="0" w:type="auto"/>
            <w:vAlign w:val="center"/>
            <w:hideMark/>
          </w:tcPr>
          <w:tbl>
            <w:tblPr>
              <w:tblW w:w="10500" w:type="dxa"/>
              <w:tblCellSpacing w:w="0" w:type="dxa"/>
              <w:tblCellMar>
                <w:left w:w="0" w:type="dxa"/>
                <w:right w:w="0" w:type="dxa"/>
              </w:tblCellMar>
              <w:tblLook w:val="04A0" w:firstRow="1" w:lastRow="0" w:firstColumn="1" w:lastColumn="0" w:noHBand="0" w:noVBand="1"/>
            </w:tblPr>
            <w:tblGrid>
              <w:gridCol w:w="10530"/>
            </w:tblGrid>
            <w:tr w:rsidR="00FE5570">
              <w:trPr>
                <w:tblCellSpacing w:w="0" w:type="dxa"/>
              </w:trPr>
              <w:tc>
                <w:tcPr>
                  <w:tcW w:w="0" w:type="auto"/>
                  <w:vAlign w:val="center"/>
                  <w:hideMark/>
                </w:tcPr>
                <w:p w:rsidR="00FE5570" w:rsidRDefault="00FE5570">
                  <w:r>
                    <w:rPr>
                      <w:rFonts w:ascii="Arial" w:hAnsi="Arial" w:cs="Arial"/>
                      <w:noProof/>
                      <w:color w:val="1F497D"/>
                      <w:sz w:val="26"/>
                      <w:szCs w:val="26"/>
                    </w:rPr>
                    <w:drawing>
                      <wp:inline distT="0" distB="0" distL="0" distR="0">
                        <wp:extent cx="6677025" cy="2447925"/>
                        <wp:effectExtent l="0" t="0" r="9525" b="9525"/>
                        <wp:docPr id="7" name="Рисунок 7"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jpg@01CE7F0D.5D5225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677025" cy="2447925"/>
                                </a:xfrm>
                                <a:prstGeom prst="rect">
                                  <a:avLst/>
                                </a:prstGeom>
                                <a:noFill/>
                                <a:ln>
                                  <a:noFill/>
                                </a:ln>
                              </pic:spPr>
                            </pic:pic>
                          </a:graphicData>
                        </a:graphic>
                      </wp:inline>
                    </w:drawing>
                  </w:r>
                </w:p>
              </w:tc>
            </w:tr>
            <w:tr w:rsidR="00FE5570">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409"/>
                    <w:gridCol w:w="10115"/>
                    <w:gridCol w:w="6"/>
                  </w:tblGrid>
                  <w:tr w:rsidR="00FE5570">
                    <w:trPr>
                      <w:trHeight w:val="150"/>
                      <w:tblCellSpacing w:w="0" w:type="dxa"/>
                    </w:trPr>
                    <w:tc>
                      <w:tcPr>
                        <w:tcW w:w="408" w:type="dxa"/>
                        <w:shd w:val="clear" w:color="auto" w:fill="FFFFFF"/>
                        <w:vAlign w:val="center"/>
                        <w:hideMark/>
                      </w:tcPr>
                      <w:p w:rsidR="00FE5570" w:rsidRDefault="00FE5570"/>
                    </w:tc>
                    <w:tc>
                      <w:tcPr>
                        <w:tcW w:w="10101" w:type="dxa"/>
                        <w:shd w:val="clear" w:color="auto" w:fill="FFFFFF"/>
                        <w:vAlign w:val="center"/>
                        <w:hideMark/>
                      </w:tcPr>
                      <w:p w:rsidR="00FE5570" w:rsidRDefault="00FE5570">
                        <w:pPr>
                          <w:rPr>
                            <w:rFonts w:eastAsia="Times New Roman"/>
                            <w:sz w:val="20"/>
                            <w:szCs w:val="20"/>
                          </w:rPr>
                        </w:pPr>
                      </w:p>
                    </w:tc>
                    <w:tc>
                      <w:tcPr>
                        <w:tcW w:w="6" w:type="dxa"/>
                        <w:shd w:val="clear" w:color="auto" w:fill="FFFFFF"/>
                        <w:vAlign w:val="center"/>
                        <w:hideMark/>
                      </w:tcPr>
                      <w:p w:rsidR="00FE5570" w:rsidRDefault="00FE5570">
                        <w:pPr>
                          <w:rPr>
                            <w:rFonts w:eastAsia="Times New Roman"/>
                            <w:sz w:val="20"/>
                            <w:szCs w:val="20"/>
                          </w:rPr>
                        </w:pPr>
                      </w:p>
                    </w:tc>
                  </w:tr>
                  <w:tr w:rsidR="00FE5570">
                    <w:trPr>
                      <w:trHeight w:val="420"/>
                      <w:tblCellSpacing w:w="0" w:type="dxa"/>
                    </w:trPr>
                    <w:tc>
                      <w:tcPr>
                        <w:tcW w:w="408" w:type="dxa"/>
                        <w:vAlign w:val="center"/>
                        <w:hideMark/>
                      </w:tcPr>
                      <w:p w:rsidR="00FE5570" w:rsidRDefault="00FE5570">
                        <w:r>
                          <w:rPr>
                            <w:rFonts w:ascii="Arial" w:hAnsi="Arial" w:cs="Arial"/>
                            <w:sz w:val="26"/>
                            <w:szCs w:val="26"/>
                          </w:rPr>
                          <w:t> </w:t>
                        </w:r>
                      </w:p>
                    </w:tc>
                    <w:tc>
                      <w:tcPr>
                        <w:tcW w:w="10101" w:type="dxa"/>
                        <w:vAlign w:val="center"/>
                        <w:hideMark/>
                      </w:tcPr>
                      <w:p w:rsidR="00FE5570" w:rsidRDefault="00FE5570"/>
                    </w:tc>
                    <w:tc>
                      <w:tcPr>
                        <w:tcW w:w="6" w:type="dxa"/>
                        <w:vAlign w:val="center"/>
                        <w:hideMark/>
                      </w:tcPr>
                      <w:p w:rsidR="00FE5570" w:rsidRDefault="00FE5570">
                        <w:pPr>
                          <w:rPr>
                            <w:rFonts w:eastAsia="Times New Roman"/>
                            <w:sz w:val="20"/>
                            <w:szCs w:val="20"/>
                          </w:rPr>
                        </w:pPr>
                      </w:p>
                    </w:tc>
                  </w:tr>
                  <w:tr w:rsidR="00FE5570">
                    <w:trPr>
                      <w:tblCellSpacing w:w="0" w:type="dxa"/>
                    </w:trPr>
                    <w:tc>
                      <w:tcPr>
                        <w:tcW w:w="408" w:type="dxa"/>
                        <w:vAlign w:val="center"/>
                        <w:hideMark/>
                      </w:tcPr>
                      <w:p w:rsidR="00FE5570" w:rsidRDefault="00FE5570">
                        <w:pPr>
                          <w:rPr>
                            <w:rFonts w:eastAsia="Times New Roman"/>
                            <w:sz w:val="20"/>
                            <w:szCs w:val="20"/>
                          </w:rPr>
                        </w:pPr>
                      </w:p>
                    </w:tc>
                    <w:tc>
                      <w:tcPr>
                        <w:tcW w:w="10101"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515"/>
                          <w:gridCol w:w="600"/>
                        </w:tblGrid>
                        <w:tr w:rsidR="00FE5570">
                          <w:trPr>
                            <w:tblCellSpacing w:w="0" w:type="dxa"/>
                          </w:trPr>
                          <w:tc>
                            <w:tcPr>
                              <w:tcW w:w="0" w:type="auto"/>
                              <w:vAlign w:val="center"/>
                              <w:hideMark/>
                            </w:tcPr>
                            <w:p w:rsidR="00FE5570" w:rsidRDefault="00FE5570">
                              <w:r>
                                <w:rPr>
                                  <w:rFonts w:ascii="Arial" w:hAnsi="Arial" w:cs="Arial"/>
                                  <w:color w:val="1F497D"/>
                                  <w:sz w:val="26"/>
                                  <w:szCs w:val="26"/>
                                </w:rPr>
                                <w:t> </w:t>
                              </w:r>
                              <w:r>
                                <w:rPr>
                                  <w:rFonts w:ascii="Arial" w:hAnsi="Arial" w:cs="Arial"/>
                                  <w:b/>
                                  <w:bCs/>
                                  <w:sz w:val="26"/>
                                  <w:szCs w:val="26"/>
                                </w:rPr>
                                <w:t>Рынок акций</w:t>
                              </w:r>
                            </w:p>
                            <w:p w:rsidR="00FE5570" w:rsidRDefault="00FE5570">
                              <w:r>
                                <w:rPr>
                                  <w:rFonts w:ascii="Arial" w:hAnsi="Arial" w:cs="Arial"/>
                                  <w:sz w:val="26"/>
                                  <w:szCs w:val="26"/>
                                </w:rPr>
                                <w:t> </w:t>
                              </w:r>
                            </w:p>
                            <w:p w:rsidR="00FE5570" w:rsidRDefault="00FE5570">
                              <w:pPr>
                                <w:spacing w:after="240"/>
                              </w:pPr>
                              <w:r>
                                <w:rPr>
                                  <w:rFonts w:ascii="Arial" w:hAnsi="Arial" w:cs="Arial"/>
                                  <w:noProof/>
                                  <w:sz w:val="26"/>
                                  <w:szCs w:val="26"/>
                                </w:rPr>
                                <w:drawing>
                                  <wp:inline distT="0" distB="0" distL="0" distR="0">
                                    <wp:extent cx="1190625" cy="1190625"/>
                                    <wp:effectExtent l="0" t="0" r="9525" b="9525"/>
                                    <wp:docPr id="6" name="Рисунок 6"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7D8D.1A6B3F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bookmarkStart w:id="0" w:name="_GoBack"/>
                              <w:bookmarkEnd w:id="0"/>
                            </w:p>
                            <w:p w:rsidR="00FE5570" w:rsidRDefault="00FE5570">
                              <w:r>
                                <w:rPr>
                                  <w:rFonts w:ascii="Arial" w:hAnsi="Arial" w:cs="Arial"/>
                                  <w:b/>
                                  <w:bCs/>
                                  <w:sz w:val="26"/>
                                  <w:szCs w:val="26"/>
                                </w:rPr>
                                <w:t xml:space="preserve">Владимир </w:t>
                              </w:r>
                              <w:proofErr w:type="gramStart"/>
                              <w:r>
                                <w:rPr>
                                  <w:rFonts w:ascii="Arial" w:hAnsi="Arial" w:cs="Arial"/>
                                  <w:b/>
                                  <w:bCs/>
                                  <w:sz w:val="26"/>
                                  <w:szCs w:val="26"/>
                                </w:rPr>
                                <w:t>Брагин,</w:t>
                              </w:r>
                              <w:r>
                                <w:rPr>
                                  <w:rFonts w:ascii="Arial" w:hAnsi="Arial" w:cs="Arial"/>
                                  <w:b/>
                                  <w:bCs/>
                                  <w:sz w:val="26"/>
                                  <w:szCs w:val="26"/>
                                </w:rPr>
                                <w:br/>
                              </w:r>
                              <w:r>
                                <w:rPr>
                                  <w:rFonts w:ascii="Arial" w:hAnsi="Arial" w:cs="Arial"/>
                                  <w:b/>
                                  <w:bCs/>
                                  <w:color w:val="FF0000"/>
                                  <w:sz w:val="26"/>
                                  <w:szCs w:val="26"/>
                                </w:rPr>
                                <w:t>директор</w:t>
                              </w:r>
                              <w:proofErr w:type="gramEnd"/>
                              <w:r>
                                <w:rPr>
                                  <w:rFonts w:ascii="Arial" w:hAnsi="Arial" w:cs="Arial"/>
                                  <w:b/>
                                  <w:bCs/>
                                  <w:color w:val="FF0000"/>
                                  <w:sz w:val="26"/>
                                  <w:szCs w:val="26"/>
                                </w:rPr>
                                <w:t xml:space="preserve"> по анализу финансовых рынков</w:t>
                              </w:r>
                              <w:r>
                                <w:rPr>
                                  <w:rFonts w:ascii="Arial" w:hAnsi="Arial" w:cs="Arial"/>
                                  <w:b/>
                                  <w:bCs/>
                                  <w:color w:val="FF0000"/>
                                  <w:sz w:val="26"/>
                                  <w:szCs w:val="26"/>
                                </w:rPr>
                                <w:br/>
                                <w:t>и макроэкономики УК «Альфа-Капитал»</w:t>
                              </w:r>
                            </w:p>
                            <w:p w:rsidR="00FE5570" w:rsidRDefault="00FE5570">
                              <w:pPr>
                                <w:jc w:val="both"/>
                              </w:pPr>
                              <w:r>
                                <w:rPr>
                                  <w:rFonts w:ascii="Arial" w:hAnsi="Arial" w:cs="Arial"/>
                                  <w:color w:val="1F497D"/>
                                  <w:sz w:val="22"/>
                                  <w:szCs w:val="22"/>
                                </w:rPr>
                                <w:t> </w:t>
                              </w:r>
                            </w:p>
                            <w:p w:rsidR="00FE5570" w:rsidRDefault="00FE5570">
                              <w:pPr>
                                <w:pStyle w:val="a30"/>
                              </w:pPr>
                              <w:r>
                                <w:rPr>
                                  <w:rFonts w:ascii="Arial" w:hAnsi="Arial" w:cs="Arial"/>
                                  <w:sz w:val="24"/>
                                  <w:szCs w:val="24"/>
                                </w:rPr>
                                <w:t>Укрепление рубля продолжает давить на котировки акций экспортеров, а широкий рынок в рублях снижается. Впрочем, в долларовом выражении российский рынок все же растет, тогда как среди других развивающихся рынков рост на неделе показал лишь Китай. Но рост рынка акций в Китае в очень большой степени обусловлен спекулятивной составляющей, ростом числа плечевых позиций и притоком средств, изымаемых инвесторами из других секторов экономики.</w:t>
                              </w:r>
                            </w:p>
                            <w:p w:rsidR="00FE5570" w:rsidRDefault="00FE5570">
                              <w:pPr>
                                <w:pStyle w:val="a30"/>
                              </w:pPr>
                              <w:r>
                                <w:rPr>
                                  <w:rFonts w:ascii="Arial" w:hAnsi="Arial" w:cs="Arial"/>
                                  <w:sz w:val="24"/>
                                  <w:szCs w:val="24"/>
                                </w:rPr>
                                <w:t>Вечно такой рост продолжаться не может, и ослабление экономик развивающихся стран будет усиливать отток средств с их рынков. Главным бенефициаром при таком сценарии станут развитые рынки, в особенности США. Рынок акций этой страны еще не перегрет, что оставляет возможности для его роста несмотря на ухудшение финансовых отчетов компаний. Особенно с учетом того, что прогнозная дата повышения ставки ФРС за последнее время была в очередной раз отодвинута на слабых данных американской экономики.</w:t>
                              </w:r>
                            </w:p>
                            <w:p w:rsidR="00FE5570" w:rsidRDefault="00FE5570">
                              <w:pPr>
                                <w:pStyle w:val="a30"/>
                              </w:pPr>
                              <w:r>
                                <w:rPr>
                                  <w:rFonts w:ascii="Arial" w:hAnsi="Arial" w:cs="Arial"/>
                                  <w:b/>
                                  <w:bCs/>
                                  <w:sz w:val="24"/>
                                  <w:szCs w:val="24"/>
                                </w:rPr>
                                <w:t xml:space="preserve">Более сильный эффект от движения в рубле на российские акции мы увидим в середине года, когда будут выходить финансовые отчеты за второй квартал. Внутренние истории на фоне слабой </w:t>
                              </w:r>
                              <w:proofErr w:type="spellStart"/>
                              <w:r>
                                <w:rPr>
                                  <w:rFonts w:ascii="Arial" w:hAnsi="Arial" w:cs="Arial"/>
                                  <w:b/>
                                  <w:bCs/>
                                  <w:sz w:val="24"/>
                                  <w:szCs w:val="24"/>
                                </w:rPr>
                                <w:t>макростатистики</w:t>
                              </w:r>
                              <w:proofErr w:type="spellEnd"/>
                              <w:r>
                                <w:rPr>
                                  <w:rFonts w:ascii="Arial" w:hAnsi="Arial" w:cs="Arial"/>
                                  <w:b/>
                                  <w:bCs/>
                                  <w:sz w:val="24"/>
                                  <w:szCs w:val="24"/>
                                </w:rPr>
                                <w:t>, на наш взгляд, также не обладают фундаментальным потенциалом роста. В результате в наших фонах мы предпочитаем держать долю в российских ценных бумагах минимальной, делая ставку на рост развитых рынков.</w:t>
                              </w:r>
                            </w:p>
                            <w:p w:rsidR="00FE5570" w:rsidRDefault="00FE5570">
                              <w:pPr>
                                <w:jc w:val="both"/>
                              </w:pPr>
                              <w:r>
                                <w:rPr>
                                  <w:rFonts w:ascii="Calibri" w:hAnsi="Calibri"/>
                                  <w:b/>
                                  <w:bCs/>
                                  <w:sz w:val="28"/>
                                  <w:szCs w:val="28"/>
                                </w:rPr>
                                <w:t> </w:t>
                              </w:r>
                            </w:p>
                            <w:p w:rsidR="00FE5570" w:rsidRDefault="00FE5570">
                              <w:r>
                                <w:rPr>
                                  <w:rFonts w:ascii="Arial" w:hAnsi="Arial" w:cs="Arial"/>
                                  <w:b/>
                                  <w:bCs/>
                                  <w:sz w:val="26"/>
                                  <w:szCs w:val="26"/>
                                </w:rPr>
                                <w:t>Рынок облигаций</w:t>
                              </w:r>
                            </w:p>
                            <w:p w:rsidR="00FE5570" w:rsidRDefault="00FE5570">
                              <w:pPr>
                                <w:spacing w:after="240"/>
                              </w:pPr>
                              <w:r>
                                <w:rPr>
                                  <w:rFonts w:ascii="Arial" w:hAnsi="Arial" w:cs="Arial"/>
                                  <w:noProof/>
                                  <w:sz w:val="26"/>
                                  <w:szCs w:val="26"/>
                                </w:rPr>
                                <w:lastRenderedPageBreak/>
                                <w:drawing>
                                  <wp:inline distT="0" distB="0" distL="0" distR="0">
                                    <wp:extent cx="1190625" cy="1190625"/>
                                    <wp:effectExtent l="0" t="0" r="9525" b="9525"/>
                                    <wp:docPr id="5" name="Рисунок 5"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7BFE.B94C54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FE5570" w:rsidRDefault="00FE5570">
                              <w:r>
                                <w:rPr>
                                  <w:rFonts w:ascii="Arial" w:hAnsi="Arial" w:cs="Arial"/>
                                  <w:b/>
                                  <w:bCs/>
                                  <w:sz w:val="26"/>
                                  <w:szCs w:val="26"/>
                                </w:rPr>
                                <w:t>Алексей Губин, </w:t>
                              </w:r>
                              <w:r>
                                <w:rPr>
                                  <w:rFonts w:ascii="Arial" w:hAnsi="Arial" w:cs="Arial"/>
                                  <w:b/>
                                  <w:bCs/>
                                  <w:sz w:val="26"/>
                                  <w:szCs w:val="26"/>
                                </w:rPr>
                                <w:br/>
                              </w:r>
                              <w:r>
                                <w:rPr>
                                  <w:rFonts w:ascii="Arial" w:hAnsi="Arial" w:cs="Arial"/>
                                  <w:b/>
                                  <w:bCs/>
                                  <w:color w:val="FF0000"/>
                                  <w:sz w:val="26"/>
                                  <w:szCs w:val="26"/>
                                </w:rPr>
                                <w:t>аналитик УК «Альфа-Капитал»</w:t>
                              </w:r>
                            </w:p>
                            <w:p w:rsidR="00FE5570" w:rsidRDefault="00FE5570">
                              <w:pPr>
                                <w:pStyle w:val="a30"/>
                              </w:pPr>
                              <w:r>
                                <w:rPr>
                                  <w:rFonts w:ascii="Calibri" w:hAnsi="Calibri"/>
                                  <w:color w:val="1F497D"/>
                                  <w:sz w:val="36"/>
                                  <w:szCs w:val="36"/>
                                </w:rPr>
                                <w:t> </w:t>
                              </w:r>
                              <w:r>
                                <w:rPr>
                                  <w:rFonts w:ascii="Arial" w:hAnsi="Arial" w:cs="Arial"/>
                                  <w:sz w:val="24"/>
                                  <w:szCs w:val="24"/>
                                </w:rPr>
                                <w:t xml:space="preserve">На прошлой неделе мы увидели консолидацию российского рынка облигаций. Доходности российских евробондов практически достигли уровня сентября-октября 2014 года, что означает, что фаза быстрого восстановления подходит к завершению. При этом российский рынок все еще выглядит несколько недооцененным, как в сравнении с уровнями полугодовой давности (доходность на 0,5‒0,75% годовых выше), так и по сравнению с другими развивающимися рынками. Интересной особенностью прошлой недели была опережающая динамика банковских </w:t>
                              </w:r>
                              <w:proofErr w:type="spellStart"/>
                              <w:r>
                                <w:rPr>
                                  <w:rFonts w:ascii="Arial" w:hAnsi="Arial" w:cs="Arial"/>
                                  <w:sz w:val="24"/>
                                  <w:szCs w:val="24"/>
                                </w:rPr>
                                <w:t>субордов</w:t>
                              </w:r>
                              <w:proofErr w:type="spellEnd"/>
                              <w:r>
                                <w:rPr>
                                  <w:rFonts w:ascii="Arial" w:hAnsi="Arial" w:cs="Arial"/>
                                  <w:sz w:val="24"/>
                                  <w:szCs w:val="24"/>
                                </w:rPr>
                                <w:t>, тогда как небанковские инструменты консолидировались. В целом такое поведение достаточно предсказуемо, учитывая</w:t>
                              </w:r>
                              <w:proofErr w:type="gramStart"/>
                              <w:r>
                                <w:rPr>
                                  <w:rFonts w:ascii="Arial" w:hAnsi="Arial" w:cs="Arial"/>
                                  <w:sz w:val="24"/>
                                  <w:szCs w:val="24"/>
                                </w:rPr>
                                <w:t>.</w:t>
                              </w:r>
                              <w:proofErr w:type="gramEnd"/>
                              <w:r>
                                <w:rPr>
                                  <w:rFonts w:ascii="Arial" w:hAnsi="Arial" w:cs="Arial"/>
                                  <w:sz w:val="24"/>
                                  <w:szCs w:val="24"/>
                                </w:rPr>
                                <w:t xml:space="preserve"> что последние несколько недель банковские </w:t>
                              </w:r>
                              <w:proofErr w:type="spellStart"/>
                              <w:r>
                                <w:rPr>
                                  <w:rFonts w:ascii="Arial" w:hAnsi="Arial" w:cs="Arial"/>
                                  <w:sz w:val="24"/>
                                  <w:szCs w:val="24"/>
                                </w:rPr>
                                <w:t>суборды</w:t>
                              </w:r>
                              <w:proofErr w:type="spellEnd"/>
                              <w:r>
                                <w:rPr>
                                  <w:rFonts w:ascii="Arial" w:hAnsi="Arial" w:cs="Arial"/>
                                  <w:sz w:val="24"/>
                                  <w:szCs w:val="24"/>
                                </w:rPr>
                                <w:t xml:space="preserve"> отставали от старших инструментов.</w:t>
                              </w:r>
                            </w:p>
                            <w:p w:rsidR="00FE5570" w:rsidRDefault="00FE5570">
                              <w:pPr>
                                <w:pStyle w:val="a30"/>
                              </w:pPr>
                              <w:r>
                                <w:rPr>
                                  <w:rFonts w:ascii="Arial" w:hAnsi="Arial" w:cs="Arial"/>
                                  <w:sz w:val="24"/>
                                  <w:szCs w:val="24"/>
                                </w:rPr>
                                <w:t xml:space="preserve">На рынке рублевых облигаций мы видели спрос на корпоративные инструменты на фоне консолидации в ОФЗ. В настоящий момент доходности практически всех рублевых бумаг «первого эшелона» находятся ниже 13% годовых, доходности ОФЗ – </w:t>
                              </w:r>
                              <w:r>
                                <w:rPr>
                                  <w:rFonts w:ascii="Arial" w:hAnsi="Arial" w:cs="Arial"/>
                                  <w:sz w:val="24"/>
                                  <w:szCs w:val="24"/>
                                </w:rPr>
                                <w:br/>
                                <w:t xml:space="preserve">в районе 11% годовых. Таким образом, рынок закладывает в цены минимум </w:t>
                              </w:r>
                              <w:r>
                                <w:rPr>
                                  <w:rFonts w:ascii="Arial" w:hAnsi="Arial" w:cs="Arial"/>
                                  <w:sz w:val="24"/>
                                  <w:szCs w:val="24"/>
                                </w:rPr>
                                <w:br/>
                                <w:t>2-процентное снижение ключевой ставки ЦБ РФ 30 апреля 2015 года. Мы полагаем, что ЦБ, реагируя на недавнее сильное укрепление рубля, может пойти на сильное снижение ставки, но не ждем, что оно превысит 2%. В таких условиях мы считаем позицию в корпоративных бумагах менее рискованной по сравнению с ОФЗ.</w:t>
                              </w:r>
                            </w:p>
                            <w:p w:rsidR="00FE5570" w:rsidRDefault="00FE5570">
                              <w:pPr>
                                <w:pStyle w:val="a30"/>
                              </w:pPr>
                              <w:r>
                                <w:rPr>
                                  <w:rFonts w:ascii="Arial" w:hAnsi="Arial" w:cs="Arial"/>
                                  <w:sz w:val="24"/>
                                  <w:szCs w:val="24"/>
                                </w:rPr>
                                <w:t xml:space="preserve">Перед майскими праздниками активность на рынке будет затухать, ликвидность начнет пропадать. Но учитывая сохраняющуюся </w:t>
                              </w:r>
                              <w:proofErr w:type="spellStart"/>
                              <w:r>
                                <w:rPr>
                                  <w:rFonts w:ascii="Arial" w:hAnsi="Arial" w:cs="Arial"/>
                                  <w:sz w:val="24"/>
                                  <w:szCs w:val="24"/>
                                </w:rPr>
                                <w:t>недооцененность</w:t>
                              </w:r>
                              <w:proofErr w:type="spellEnd"/>
                              <w:r>
                                <w:rPr>
                                  <w:rFonts w:ascii="Arial" w:hAnsi="Arial" w:cs="Arial"/>
                                  <w:sz w:val="24"/>
                                  <w:szCs w:val="24"/>
                                </w:rPr>
                                <w:t xml:space="preserve"> российского рынка евробондов, а также продолжающуюся нормализацию денежно-кредитной политики ЦБ РФ, считаем целесообразным оставаться в бумагах.</w:t>
                              </w:r>
                            </w:p>
                            <w:p w:rsidR="00FE5570" w:rsidRDefault="00FE5570">
                              <w:pPr>
                                <w:pStyle w:val="a30"/>
                              </w:pPr>
                              <w:r>
                                <w:rPr>
                                  <w:rFonts w:ascii="Arial" w:hAnsi="Arial" w:cs="Arial"/>
                                  <w:b/>
                                  <w:bCs/>
                                  <w:sz w:val="22"/>
                                  <w:szCs w:val="22"/>
                                </w:rPr>
                                <w:t> </w:t>
                              </w:r>
                            </w:p>
                            <w:p w:rsidR="00FE5570" w:rsidRDefault="00FE5570">
                              <w:pPr>
                                <w:pStyle w:val="a30"/>
                              </w:pPr>
                              <w:r>
                                <w:rPr>
                                  <w:rFonts w:ascii="Arial" w:hAnsi="Arial" w:cs="Arial"/>
                                  <w:sz w:val="20"/>
                                  <w:szCs w:val="20"/>
                                </w:rPr>
                                <w:t> </w:t>
                              </w:r>
                            </w:p>
                            <w:p w:rsidR="00FE5570" w:rsidRDefault="00FE5570">
                              <w:r>
                                <w:rPr>
                                  <w:rFonts w:ascii="Arial" w:hAnsi="Arial" w:cs="Arial"/>
                                  <w:b/>
                                  <w:bCs/>
                                  <w:sz w:val="26"/>
                                  <w:szCs w:val="26"/>
                                </w:rPr>
                                <w:t>Рынок сырьевых товаров</w:t>
                              </w:r>
                            </w:p>
                            <w:p w:rsidR="00FE5570" w:rsidRDefault="00FE5570">
                              <w:pPr>
                                <w:spacing w:after="240"/>
                              </w:pPr>
                              <w:r>
                                <w:rPr>
                                  <w:rFonts w:ascii="Arial" w:hAnsi="Arial" w:cs="Arial"/>
                                  <w:noProof/>
                                  <w:sz w:val="26"/>
                                  <w:szCs w:val="26"/>
                                </w:rPr>
                                <w:drawing>
                                  <wp:inline distT="0" distB="0" distL="0" distR="0">
                                    <wp:extent cx="1123950" cy="1123950"/>
                                    <wp:effectExtent l="0" t="0" r="0" b="0"/>
                                    <wp:docPr id="4" name="Рисунок 4"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E7D8D.1A6B3F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FE5570" w:rsidRDefault="00FE5570">
                              <w:r>
                                <w:rPr>
                                  <w:rFonts w:ascii="Arial" w:hAnsi="Arial" w:cs="Arial"/>
                                  <w:b/>
                                  <w:bCs/>
                                  <w:color w:val="1F497D"/>
                                  <w:sz w:val="26"/>
                                  <w:szCs w:val="26"/>
                                </w:rPr>
                                <w:t> </w:t>
                              </w:r>
                            </w:p>
                            <w:p w:rsidR="00FE5570" w:rsidRDefault="00FE5570">
                              <w:r>
                                <w:rPr>
                                  <w:rFonts w:ascii="Calibri" w:hAnsi="Calibri"/>
                                  <w:b/>
                                  <w:bCs/>
                                  <w:color w:val="1F497D"/>
                                  <w:sz w:val="22"/>
                                  <w:szCs w:val="22"/>
                                </w:rPr>
                                <w:t> </w:t>
                              </w:r>
                            </w:p>
                            <w:p w:rsidR="00FE5570" w:rsidRDefault="00FE5570">
                              <w:r>
                                <w:rPr>
                                  <w:rFonts w:ascii="Arial" w:hAnsi="Arial" w:cs="Arial"/>
                                  <w:b/>
                                  <w:bCs/>
                                  <w:sz w:val="26"/>
                                  <w:szCs w:val="26"/>
                                </w:rPr>
                                <w:t xml:space="preserve">Владимир </w:t>
                              </w:r>
                              <w:proofErr w:type="gramStart"/>
                              <w:r>
                                <w:rPr>
                                  <w:rFonts w:ascii="Arial" w:hAnsi="Arial" w:cs="Arial"/>
                                  <w:b/>
                                  <w:bCs/>
                                  <w:sz w:val="26"/>
                                  <w:szCs w:val="26"/>
                                </w:rPr>
                                <w:t>Брагин,</w:t>
                              </w:r>
                              <w:r>
                                <w:rPr>
                                  <w:rFonts w:ascii="Arial" w:hAnsi="Arial" w:cs="Arial"/>
                                  <w:b/>
                                  <w:bCs/>
                                  <w:sz w:val="26"/>
                                  <w:szCs w:val="26"/>
                                </w:rPr>
                                <w:br/>
                              </w:r>
                              <w:r>
                                <w:rPr>
                                  <w:rFonts w:ascii="Arial" w:hAnsi="Arial" w:cs="Arial"/>
                                  <w:b/>
                                  <w:bCs/>
                                  <w:color w:val="FF0000"/>
                                  <w:sz w:val="26"/>
                                  <w:szCs w:val="26"/>
                                </w:rPr>
                                <w:t>директор</w:t>
                              </w:r>
                              <w:proofErr w:type="gramEnd"/>
                              <w:r>
                                <w:rPr>
                                  <w:rFonts w:ascii="Arial" w:hAnsi="Arial" w:cs="Arial"/>
                                  <w:b/>
                                  <w:bCs/>
                                  <w:color w:val="FF0000"/>
                                  <w:sz w:val="26"/>
                                  <w:szCs w:val="26"/>
                                </w:rPr>
                                <w:t xml:space="preserve"> по анализу финансовых рынков</w:t>
                              </w:r>
                              <w:r>
                                <w:rPr>
                                  <w:rFonts w:ascii="Arial" w:hAnsi="Arial" w:cs="Arial"/>
                                  <w:b/>
                                  <w:bCs/>
                                  <w:color w:val="FF0000"/>
                                  <w:sz w:val="26"/>
                                  <w:szCs w:val="26"/>
                                </w:rPr>
                                <w:br/>
                                <w:t>и макроэкономики УК «Альфа-Капитал»</w:t>
                              </w:r>
                            </w:p>
                            <w:p w:rsidR="00FE5570" w:rsidRDefault="00FE5570">
                              <w:pPr>
                                <w:pStyle w:val="a5"/>
                                <w:spacing w:after="120"/>
                                <w:jc w:val="both"/>
                              </w:pPr>
                              <w:r>
                                <w:rPr>
                                  <w:rFonts w:ascii="Calibri" w:hAnsi="Calibri"/>
                                  <w:color w:val="1F497D"/>
                                  <w:sz w:val="22"/>
                                  <w:szCs w:val="22"/>
                                </w:rPr>
                                <w:t> </w:t>
                              </w:r>
                            </w:p>
                            <w:p w:rsidR="00FE5570" w:rsidRDefault="00FE5570">
                              <w:pPr>
                                <w:pStyle w:val="a30"/>
                                <w:spacing w:after="120"/>
                              </w:pPr>
                              <w:r>
                                <w:rPr>
                                  <w:rFonts w:ascii="Arial" w:hAnsi="Arial" w:cs="Arial"/>
                                  <w:sz w:val="24"/>
                                  <w:szCs w:val="24"/>
                                </w:rPr>
                                <w:lastRenderedPageBreak/>
                                <w:t xml:space="preserve">Цены сортов нефти </w:t>
                              </w:r>
                              <w:r>
                                <w:rPr>
                                  <w:rFonts w:ascii="Arial" w:hAnsi="Arial" w:cs="Arial"/>
                                  <w:sz w:val="24"/>
                                  <w:szCs w:val="24"/>
                                  <w:lang w:val="en-US"/>
                                </w:rPr>
                                <w:t>Brent</w:t>
                              </w:r>
                              <w:r>
                                <w:rPr>
                                  <w:rFonts w:ascii="Arial" w:hAnsi="Arial" w:cs="Arial"/>
                                  <w:sz w:val="24"/>
                                  <w:szCs w:val="24"/>
                                </w:rPr>
                                <w:t xml:space="preserve"> и </w:t>
                              </w:r>
                              <w:r>
                                <w:rPr>
                                  <w:rFonts w:ascii="Arial" w:hAnsi="Arial" w:cs="Arial"/>
                                  <w:sz w:val="24"/>
                                  <w:szCs w:val="24"/>
                                  <w:lang w:val="en-US"/>
                                </w:rPr>
                                <w:t>WTI</w:t>
                              </w:r>
                              <w:r w:rsidRPr="00FE5570">
                                <w:rPr>
                                  <w:rFonts w:ascii="Arial" w:hAnsi="Arial" w:cs="Arial"/>
                                  <w:sz w:val="24"/>
                                  <w:szCs w:val="24"/>
                                </w:rPr>
                                <w:t xml:space="preserve"> </w:t>
                              </w:r>
                              <w:r>
                                <w:rPr>
                                  <w:rFonts w:ascii="Arial" w:hAnsi="Arial" w:cs="Arial"/>
                                  <w:sz w:val="24"/>
                                  <w:szCs w:val="24"/>
                                </w:rPr>
                                <w:t xml:space="preserve">на прошедшей неделе выросли на 9,6% и 14,1% соответственно. </w:t>
                              </w:r>
                              <w:r>
                                <w:rPr>
                                  <w:rFonts w:ascii="Arial" w:hAnsi="Arial" w:cs="Arial"/>
                                  <w:sz w:val="24"/>
                                  <w:szCs w:val="24"/>
                                  <w:lang w:val="en-US"/>
                                </w:rPr>
                                <w:t>EIA</w:t>
                              </w:r>
                              <w:r w:rsidRPr="00FE5570">
                                <w:rPr>
                                  <w:rFonts w:ascii="Arial" w:hAnsi="Arial" w:cs="Arial"/>
                                  <w:sz w:val="24"/>
                                  <w:szCs w:val="24"/>
                                </w:rPr>
                                <w:t xml:space="preserve"> </w:t>
                              </w:r>
                              <w:r>
                                <w:rPr>
                                  <w:rFonts w:ascii="Arial" w:hAnsi="Arial" w:cs="Arial"/>
                                  <w:sz w:val="24"/>
                                  <w:szCs w:val="24"/>
                                </w:rPr>
                                <w:t>пересмотрел темпы роста добычи сланцевой нефти в США и впервые с 2011 года спрогнозировал отрицательный рост в апреле и существенное снижение добычи в мае. Похоже, что повышение эффективности существующих месторождений уже не может перекрыть снижения числа вводимых в строй новых месторождений. И это важная переломная точка, так как именно рост добычи нефти в США, произошедший благодаря большим инвестициям в сектор в период высоких цен на нефть, в итоге и привел к их обвалу. Круг замкнулся, и, согласно этой логике, следующий этап развития рынка – это рост, пусть и не столь быстрый, цен на нефть.</w:t>
                              </w:r>
                            </w:p>
                            <w:p w:rsidR="00FE5570" w:rsidRDefault="00FE5570">
                              <w:pPr>
                                <w:pStyle w:val="a30"/>
                                <w:spacing w:after="120"/>
                              </w:pPr>
                              <w:r>
                                <w:rPr>
                                  <w:rFonts w:ascii="Arial" w:hAnsi="Arial" w:cs="Arial"/>
                                  <w:sz w:val="24"/>
                                  <w:szCs w:val="24"/>
                                </w:rPr>
                                <w:t>Риски снижения цен на нефть остаются. Например, ОПЕК продолжает наращивать добычу, что на фоне отсутствия предпосылок к росту спроса на нефть создает пространство для новой коррекции. В противовес этому остается «ближневосточная премия», которая должна увеличиться после поставок в Иран комплексов С-300.</w:t>
                              </w:r>
                            </w:p>
                            <w:p w:rsidR="00FE5570" w:rsidRDefault="00FE5570">
                              <w:pPr>
                                <w:pStyle w:val="a30"/>
                                <w:spacing w:after="120"/>
                              </w:pPr>
                              <w:r>
                                <w:rPr>
                                  <w:rFonts w:ascii="Arial" w:hAnsi="Arial" w:cs="Arial"/>
                                  <w:sz w:val="24"/>
                                  <w:szCs w:val="24"/>
                                </w:rPr>
                                <w:t>Несмотря на рост стоимости доллара, золото остается относительно стабильным – на уровне 1200 долл. за унцию. Золото получило поддержку от новостей о желании ФРС США удерживать ультранизкую ставку более длительное время. Первое повышение ожидается только в декабре 2015 года. Кроме того, инвесторов пугает ситуация вокруг Греции, что также добавляет интереса защитным активам.</w:t>
                              </w:r>
                            </w:p>
                            <w:p w:rsidR="00FE5570" w:rsidRDefault="00FE5570">
                              <w:pPr>
                                <w:pStyle w:val="a5"/>
                                <w:spacing w:after="120"/>
                                <w:jc w:val="both"/>
                              </w:pPr>
                              <w:r>
                                <w:rPr>
                                  <w:rFonts w:ascii="Calibri" w:hAnsi="Calibri"/>
                                  <w:color w:val="1F497D"/>
                                  <w:sz w:val="22"/>
                                  <w:szCs w:val="22"/>
                                </w:rPr>
                                <w:t> </w:t>
                              </w:r>
                            </w:p>
                            <w:p w:rsidR="00FE5570" w:rsidRDefault="00FE5570">
                              <w:pPr>
                                <w:pStyle w:val="a5"/>
                                <w:spacing w:after="120"/>
                                <w:jc w:val="both"/>
                              </w:pPr>
                              <w:r>
                                <w:rPr>
                                  <w:rFonts w:ascii="Calibri" w:hAnsi="Calibri"/>
                                  <w:color w:val="1F497D"/>
                                  <w:sz w:val="22"/>
                                  <w:szCs w:val="22"/>
                                </w:rPr>
                                <w:t> </w:t>
                              </w:r>
                            </w:p>
                            <w:p w:rsidR="00FE5570" w:rsidRDefault="00FE5570">
                              <w:r>
                                <w:rPr>
                                  <w:rFonts w:ascii="Arial" w:hAnsi="Arial" w:cs="Arial"/>
                                  <w:sz w:val="22"/>
                                  <w:szCs w:val="22"/>
                                </w:rPr>
                                <w:t>*</w:t>
                              </w:r>
                              <w:r>
                                <w:rPr>
                                  <w:rFonts w:ascii="Arial" w:hAnsi="Arial" w:cs="Arial"/>
                                  <w:i/>
                                  <w:iCs/>
                                  <w:sz w:val="22"/>
                                  <w:szCs w:val="22"/>
                                </w:rPr>
                                <w:t xml:space="preserve">Если по какой-то причине Вам не интересна рассылка, есть пожелания по ее содержанию или Вы знаете тех, кому она могла бы также быть полезной, пожалуйста, сообщите нам на </w:t>
                              </w:r>
                              <w:hyperlink r:id="rId12" w:history="1">
                                <w:r>
                                  <w:rPr>
                                    <w:rStyle w:val="a3"/>
                                    <w:rFonts w:ascii="Arial" w:hAnsi="Arial" w:cs="Arial"/>
                                    <w:i/>
                                    <w:iCs/>
                                    <w:sz w:val="22"/>
                                    <w:szCs w:val="22"/>
                                    <w:lang w:val="en-US"/>
                                  </w:rPr>
                                  <w:t>i</w:t>
                                </w:r>
                                <w:r>
                                  <w:rPr>
                                    <w:rStyle w:val="a3"/>
                                    <w:rFonts w:ascii="Arial" w:hAnsi="Arial" w:cs="Arial"/>
                                    <w:i/>
                                    <w:iCs/>
                                    <w:sz w:val="22"/>
                                    <w:szCs w:val="22"/>
                                  </w:rPr>
                                  <w:t>.</w:t>
                                </w:r>
                                <w:r>
                                  <w:rPr>
                                    <w:rStyle w:val="a3"/>
                                    <w:rFonts w:ascii="Arial" w:hAnsi="Arial" w:cs="Arial"/>
                                    <w:i/>
                                    <w:iCs/>
                                    <w:sz w:val="22"/>
                                    <w:szCs w:val="22"/>
                                    <w:lang w:val="en-US"/>
                                  </w:rPr>
                                  <w:t>balalueva</w:t>
                                </w:r>
                                <w:r>
                                  <w:rPr>
                                    <w:rStyle w:val="a3"/>
                                    <w:rFonts w:ascii="Arial" w:hAnsi="Arial" w:cs="Arial"/>
                                    <w:i/>
                                    <w:iCs/>
                                    <w:sz w:val="22"/>
                                    <w:szCs w:val="22"/>
                                  </w:rPr>
                                  <w:t>@</w:t>
                                </w:r>
                                <w:r>
                                  <w:rPr>
                                    <w:rStyle w:val="a3"/>
                                    <w:rFonts w:ascii="Arial" w:hAnsi="Arial" w:cs="Arial"/>
                                    <w:i/>
                                    <w:iCs/>
                                    <w:sz w:val="22"/>
                                    <w:szCs w:val="22"/>
                                    <w:lang w:val="en-US"/>
                                  </w:rPr>
                                  <w:t>alfacapital</w:t>
                                </w:r>
                                <w:r>
                                  <w:rPr>
                                    <w:rStyle w:val="a3"/>
                                    <w:rFonts w:ascii="Arial" w:hAnsi="Arial" w:cs="Arial"/>
                                    <w:i/>
                                    <w:iCs/>
                                    <w:sz w:val="22"/>
                                    <w:szCs w:val="22"/>
                                  </w:rPr>
                                  <w:t>.</w:t>
                                </w:r>
                                <w:r>
                                  <w:rPr>
                                    <w:rStyle w:val="a3"/>
                                    <w:rFonts w:ascii="Arial" w:hAnsi="Arial" w:cs="Arial"/>
                                    <w:i/>
                                    <w:iCs/>
                                    <w:sz w:val="22"/>
                                    <w:szCs w:val="22"/>
                                    <w:lang w:val="en-US"/>
                                  </w:rPr>
                                  <w:t>ru</w:t>
                                </w:r>
                              </w:hyperlink>
                              <w:r>
                                <w:rPr>
                                  <w:rFonts w:ascii="Arial" w:hAnsi="Arial" w:cs="Arial"/>
                                  <w:i/>
                                  <w:iCs/>
                                  <w:sz w:val="22"/>
                                  <w:szCs w:val="22"/>
                                </w:rPr>
                                <w:t xml:space="preserve">. </w:t>
                              </w:r>
                            </w:p>
                            <w:p w:rsidR="00FE5570" w:rsidRDefault="00FE5570">
                              <w:r>
                                <w:rPr>
                                  <w:rFonts w:ascii="Arial" w:hAnsi="Arial" w:cs="Arial"/>
                                  <w:i/>
                                  <w:iCs/>
                                  <w:sz w:val="22"/>
                                  <w:szCs w:val="22"/>
                                </w:rPr>
                                <w:t>Остаемся на связи!</w:t>
                              </w:r>
                            </w:p>
                            <w:p w:rsidR="00FE5570" w:rsidRDefault="00FE5570">
                              <w:pPr>
                                <w:jc w:val="right"/>
                              </w:pPr>
                              <w:r>
                                <w:rPr>
                                  <w:rFonts w:ascii="Arial" w:hAnsi="Arial" w:cs="Arial"/>
                                  <w:i/>
                                  <w:iCs/>
                                  <w:sz w:val="22"/>
                                  <w:szCs w:val="22"/>
                                </w:rPr>
                                <w:t>С уважением,</w:t>
                              </w:r>
                            </w:p>
                            <w:p w:rsidR="00FE5570" w:rsidRDefault="00FE5570">
                              <w:pPr>
                                <w:jc w:val="right"/>
                              </w:pPr>
                              <w:r>
                                <w:rPr>
                                  <w:rFonts w:ascii="Arial" w:hAnsi="Arial" w:cs="Arial"/>
                                  <w:i/>
                                  <w:iCs/>
                                  <w:sz w:val="22"/>
                                  <w:szCs w:val="22"/>
                                </w:rPr>
                                <w:t>пресс-служба УК «Альфа-Капитал».</w:t>
                              </w:r>
                            </w:p>
                          </w:tc>
                          <w:tc>
                            <w:tcPr>
                              <w:tcW w:w="600" w:type="dxa"/>
                              <w:vAlign w:val="center"/>
                              <w:hideMark/>
                            </w:tcPr>
                            <w:p w:rsidR="00FE5570" w:rsidRDefault="00FE5570">
                              <w:r>
                                <w:rPr>
                                  <w:rFonts w:ascii="Arial" w:hAnsi="Arial" w:cs="Arial"/>
                                  <w:sz w:val="26"/>
                                  <w:szCs w:val="26"/>
                                </w:rPr>
                                <w:lastRenderedPageBreak/>
                                <w:t> </w:t>
                              </w:r>
                            </w:p>
                          </w:tc>
                        </w:tr>
                      </w:tbl>
                      <w:p w:rsidR="00FE5570" w:rsidRDefault="00FE5570">
                        <w:pPr>
                          <w:rPr>
                            <w:rFonts w:eastAsia="Times New Roman"/>
                            <w:sz w:val="20"/>
                            <w:szCs w:val="20"/>
                          </w:rPr>
                        </w:pPr>
                      </w:p>
                    </w:tc>
                    <w:tc>
                      <w:tcPr>
                        <w:tcW w:w="6" w:type="dxa"/>
                        <w:vAlign w:val="center"/>
                        <w:hideMark/>
                      </w:tcPr>
                      <w:p w:rsidR="00FE5570" w:rsidRDefault="00FE5570">
                        <w:pPr>
                          <w:rPr>
                            <w:rFonts w:eastAsia="Times New Roman"/>
                            <w:sz w:val="20"/>
                            <w:szCs w:val="20"/>
                          </w:rPr>
                        </w:pPr>
                      </w:p>
                    </w:tc>
                  </w:tr>
                </w:tbl>
                <w:p w:rsidR="00FE5570" w:rsidRDefault="00FE5570">
                  <w:r>
                    <w:rPr>
                      <w:rFonts w:ascii="Arial" w:hAnsi="Arial" w:cs="Arial"/>
                      <w:noProof/>
                      <w:sz w:val="26"/>
                      <w:szCs w:val="26"/>
                    </w:rPr>
                    <w:lastRenderedPageBreak/>
                    <w:drawing>
                      <wp:inline distT="0" distB="0" distL="0" distR="0">
                        <wp:extent cx="6667500" cy="762000"/>
                        <wp:effectExtent l="0" t="0" r="0" b="0"/>
                        <wp:docPr id="3" name="Рисунок 3" descr="cid:image004.gif@01CF1B7C.B25E1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id:image004.gif@01CF1B7C.B25E1A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67500" cy="762000"/>
                                </a:xfrm>
                                <a:prstGeom prst="rect">
                                  <a:avLst/>
                                </a:prstGeom>
                                <a:noFill/>
                                <a:ln>
                                  <a:noFill/>
                                </a:ln>
                              </pic:spPr>
                            </pic:pic>
                          </a:graphicData>
                        </a:graphic>
                      </wp:inline>
                    </w:drawing>
                  </w:r>
                </w:p>
              </w:tc>
            </w:tr>
            <w:tr w:rsidR="00FE5570">
              <w:trPr>
                <w:trHeight w:val="150"/>
                <w:tblCellSpacing w:w="0" w:type="dxa"/>
              </w:trPr>
              <w:tc>
                <w:tcPr>
                  <w:tcW w:w="0" w:type="auto"/>
                  <w:vAlign w:val="center"/>
                  <w:hideMark/>
                </w:tcPr>
                <w:p w:rsidR="00FE5570" w:rsidRDefault="00FE5570"/>
              </w:tc>
            </w:tr>
            <w:tr w:rsidR="00FE5570">
              <w:trPr>
                <w:tblCellSpacing w:w="0" w:type="dxa"/>
              </w:trPr>
              <w:tc>
                <w:tcPr>
                  <w:tcW w:w="0" w:type="auto"/>
                  <w:vAlign w:val="center"/>
                  <w:hideMark/>
                </w:tcPr>
                <w:p w:rsidR="00FE5570" w:rsidRDefault="00FE5570">
                  <w:pPr>
                    <w:rPr>
                      <w:rFonts w:eastAsia="Times New Roman"/>
                      <w:sz w:val="20"/>
                      <w:szCs w:val="20"/>
                    </w:rPr>
                  </w:pPr>
                </w:p>
              </w:tc>
            </w:tr>
            <w:tr w:rsidR="00FE5570">
              <w:trPr>
                <w:trHeight w:val="150"/>
                <w:tblCellSpacing w:w="0" w:type="dxa"/>
              </w:trPr>
              <w:tc>
                <w:tcPr>
                  <w:tcW w:w="0" w:type="auto"/>
                  <w:vAlign w:val="center"/>
                  <w:hideMark/>
                </w:tcPr>
                <w:p w:rsidR="00FE5570" w:rsidRDefault="00FE5570">
                  <w:pPr>
                    <w:rPr>
                      <w:rFonts w:eastAsia="Times New Roman"/>
                      <w:sz w:val="20"/>
                      <w:szCs w:val="20"/>
                    </w:rPr>
                  </w:pPr>
                </w:p>
              </w:tc>
            </w:tr>
          </w:tbl>
          <w:p w:rsidR="00FE5570" w:rsidRDefault="00FE5570">
            <w:pPr>
              <w:rPr>
                <w:rFonts w:eastAsia="Times New Roman"/>
                <w:sz w:val="20"/>
                <w:szCs w:val="20"/>
              </w:rPr>
            </w:pPr>
          </w:p>
        </w:tc>
        <w:tc>
          <w:tcPr>
            <w:tcW w:w="0" w:type="auto"/>
            <w:vAlign w:val="center"/>
            <w:hideMark/>
          </w:tcPr>
          <w:p w:rsidR="00FE5570" w:rsidRDefault="00FE5570">
            <w:pPr>
              <w:rPr>
                <w:rFonts w:eastAsia="Times New Roman"/>
                <w:sz w:val="20"/>
                <w:szCs w:val="20"/>
              </w:rPr>
            </w:pPr>
          </w:p>
        </w:tc>
      </w:tr>
    </w:tbl>
    <w:p w:rsidR="00FE5570" w:rsidRDefault="00FE5570" w:rsidP="00FE5570">
      <w:r>
        <w:rPr>
          <w:rFonts w:ascii="Arial" w:hAnsi="Arial" w:cs="Arial"/>
          <w:color w:val="595959"/>
          <w:sz w:val="18"/>
          <w:szCs w:val="18"/>
        </w:rPr>
        <w:lastRenderedPageBreak/>
        <w:t>С уважением,</w:t>
      </w:r>
    </w:p>
    <w:p w:rsidR="00FE5570" w:rsidRDefault="00FE5570" w:rsidP="00FE5570">
      <w:r>
        <w:rPr>
          <w:rFonts w:ascii="Arial" w:hAnsi="Arial" w:cs="Arial"/>
          <w:b/>
          <w:bCs/>
          <w:color w:val="595959"/>
          <w:sz w:val="18"/>
          <w:szCs w:val="18"/>
        </w:rPr>
        <w:t xml:space="preserve">Ирина </w:t>
      </w:r>
      <w:proofErr w:type="spellStart"/>
      <w:r>
        <w:rPr>
          <w:rFonts w:ascii="Arial" w:hAnsi="Arial" w:cs="Arial"/>
          <w:b/>
          <w:bCs/>
          <w:color w:val="595959"/>
          <w:sz w:val="18"/>
          <w:szCs w:val="18"/>
        </w:rPr>
        <w:t>Балалуева</w:t>
      </w:r>
      <w:proofErr w:type="spellEnd"/>
      <w:r>
        <w:rPr>
          <w:rFonts w:ascii="Arial" w:hAnsi="Arial" w:cs="Arial"/>
          <w:color w:val="595959"/>
          <w:sz w:val="18"/>
          <w:szCs w:val="18"/>
        </w:rPr>
        <w:t xml:space="preserve"> | </w:t>
      </w:r>
      <w:r>
        <w:rPr>
          <w:rFonts w:ascii="Arial" w:hAnsi="Arial" w:cs="Arial"/>
          <w:color w:val="595959"/>
          <w:sz w:val="18"/>
          <w:szCs w:val="18"/>
          <w:lang w:val="en-US"/>
        </w:rPr>
        <w:t>PR</w:t>
      </w:r>
      <w:r>
        <w:rPr>
          <w:rFonts w:ascii="Arial" w:hAnsi="Arial" w:cs="Arial"/>
          <w:color w:val="595959"/>
          <w:sz w:val="18"/>
          <w:szCs w:val="18"/>
        </w:rPr>
        <w:t>-менеджер</w:t>
      </w:r>
    </w:p>
    <w:p w:rsidR="00FE5570" w:rsidRDefault="00FE5570" w:rsidP="00FE5570">
      <w:pPr>
        <w:spacing w:after="240"/>
      </w:pPr>
      <w:r>
        <w:rPr>
          <w:rFonts w:ascii="Arial" w:hAnsi="Arial" w:cs="Arial"/>
          <w:b/>
          <w:bCs/>
          <w:noProof/>
          <w:color w:val="808080"/>
          <w:sz w:val="18"/>
          <w:szCs w:val="18"/>
        </w:rPr>
        <w:drawing>
          <wp:inline distT="0" distB="0" distL="0" distR="0">
            <wp:extent cx="2381250" cy="523875"/>
            <wp:effectExtent l="0" t="0" r="0" b="9525"/>
            <wp:docPr id="2" name="Рисунок 2" descr="Описание: cid:image002.gif@01CED644.6CFD6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cid:image002.gif@01CED644.6CFD68B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inline>
        </w:drawing>
      </w:r>
    </w:p>
    <w:p w:rsidR="00FE5570" w:rsidRDefault="00FE5570" w:rsidP="00FE5570">
      <w:pPr>
        <w:spacing w:before="60"/>
      </w:pPr>
      <w:r>
        <w:rPr>
          <w:rFonts w:ascii="Arial" w:hAnsi="Arial" w:cs="Arial"/>
          <w:b/>
          <w:bCs/>
          <w:color w:val="C00000"/>
          <w:sz w:val="18"/>
          <w:szCs w:val="18"/>
        </w:rPr>
        <w:t>Тел</w:t>
      </w:r>
      <w:r>
        <w:rPr>
          <w:rFonts w:ascii="Arial" w:hAnsi="Arial" w:cs="Arial"/>
          <w:color w:val="C00000"/>
          <w:sz w:val="18"/>
          <w:szCs w:val="18"/>
        </w:rPr>
        <w:t>.</w:t>
      </w:r>
      <w:r>
        <w:rPr>
          <w:rFonts w:ascii="Arial" w:hAnsi="Arial" w:cs="Arial"/>
          <w:color w:val="595959"/>
          <w:sz w:val="18"/>
          <w:szCs w:val="18"/>
        </w:rPr>
        <w:t>: + 7 495 797 3152 (</w:t>
      </w:r>
      <w:proofErr w:type="spellStart"/>
      <w:r>
        <w:rPr>
          <w:rFonts w:ascii="Arial" w:hAnsi="Arial" w:cs="Arial"/>
          <w:color w:val="595959"/>
          <w:sz w:val="18"/>
          <w:szCs w:val="18"/>
          <w:lang w:val="en-US"/>
        </w:rPr>
        <w:t>ext</w:t>
      </w:r>
      <w:proofErr w:type="spellEnd"/>
      <w:r>
        <w:rPr>
          <w:rFonts w:ascii="Arial" w:hAnsi="Arial" w:cs="Arial"/>
          <w:color w:val="595959"/>
          <w:sz w:val="18"/>
          <w:szCs w:val="18"/>
        </w:rPr>
        <w:t>. 179) |</w:t>
      </w:r>
      <w:r>
        <w:rPr>
          <w:rFonts w:ascii="Arial" w:hAnsi="Arial" w:cs="Arial"/>
          <w:color w:val="004B8D"/>
          <w:sz w:val="18"/>
          <w:szCs w:val="18"/>
        </w:rPr>
        <w:t xml:space="preserve"> </w:t>
      </w:r>
      <w:proofErr w:type="gramStart"/>
      <w:r>
        <w:rPr>
          <w:rFonts w:ascii="Arial" w:hAnsi="Arial" w:cs="Arial"/>
          <w:b/>
          <w:bCs/>
          <w:color w:val="C00000"/>
          <w:sz w:val="18"/>
          <w:szCs w:val="18"/>
        </w:rPr>
        <w:t>Моб</w:t>
      </w:r>
      <w:r>
        <w:rPr>
          <w:rFonts w:ascii="Arial" w:hAnsi="Arial" w:cs="Arial"/>
          <w:color w:val="FF0000"/>
          <w:sz w:val="18"/>
          <w:szCs w:val="18"/>
        </w:rPr>
        <w:t>.</w:t>
      </w:r>
      <w:r>
        <w:rPr>
          <w:rFonts w:ascii="Arial" w:hAnsi="Arial" w:cs="Arial"/>
          <w:color w:val="595959"/>
          <w:sz w:val="18"/>
          <w:szCs w:val="18"/>
        </w:rPr>
        <w:t>:</w:t>
      </w:r>
      <w:proofErr w:type="gramEnd"/>
      <w:r>
        <w:rPr>
          <w:rFonts w:ascii="Arial" w:hAnsi="Arial" w:cs="Arial"/>
          <w:color w:val="004B8D"/>
          <w:sz w:val="18"/>
          <w:szCs w:val="18"/>
        </w:rPr>
        <w:t xml:space="preserve"> </w:t>
      </w:r>
      <w:r>
        <w:rPr>
          <w:rFonts w:ascii="Arial" w:hAnsi="Arial" w:cs="Arial"/>
          <w:color w:val="595959"/>
          <w:sz w:val="18"/>
          <w:szCs w:val="18"/>
        </w:rPr>
        <w:t>+ 7 916 282 1319 |</w:t>
      </w:r>
      <w:r>
        <w:rPr>
          <w:rFonts w:ascii="Arial" w:hAnsi="Arial" w:cs="Arial"/>
          <w:color w:val="999999"/>
          <w:sz w:val="18"/>
          <w:szCs w:val="18"/>
        </w:rPr>
        <w:t xml:space="preserve"> </w:t>
      </w:r>
      <w:r>
        <w:rPr>
          <w:rFonts w:ascii="Helvetica" w:hAnsi="Helvetica"/>
          <w:noProof/>
          <w:color w:val="1F497D"/>
          <w:sz w:val="18"/>
          <w:szCs w:val="18"/>
        </w:rPr>
        <w:drawing>
          <wp:inline distT="0" distB="0" distL="0" distR="0">
            <wp:extent cx="133350" cy="133350"/>
            <wp:effectExtent l="0" t="0" r="0" b="0"/>
            <wp:docPr id="1" name="Рисунок 1" descr="http://jclub.chess.cornell.edu/includes/stickyfooter/img/logo_faceboo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jclub.chess.cornell.edu/includes/stickyfooter/img/logo_facebook.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FE5570" w:rsidRDefault="00FE5570" w:rsidP="00FE5570">
      <w:r>
        <w:rPr>
          <w:rFonts w:ascii="Arial" w:hAnsi="Arial" w:cs="Arial"/>
          <w:color w:val="595959"/>
          <w:sz w:val="18"/>
          <w:szCs w:val="18"/>
        </w:rPr>
        <w:t>123001, Россия, г. Москва, ул. Садовая-Кудринская, д.32, стр. 1, БЦ «Бронная Плаза»</w:t>
      </w:r>
    </w:p>
    <w:p w:rsidR="00FE5570" w:rsidRDefault="00FE5570" w:rsidP="00FE5570">
      <w:hyperlink r:id="rId20" w:history="1">
        <w:r>
          <w:rPr>
            <w:rStyle w:val="a3"/>
            <w:rFonts w:ascii="Arial" w:hAnsi="Arial" w:cs="Arial"/>
            <w:b/>
            <w:bCs/>
            <w:color w:val="7F7F7F"/>
            <w:sz w:val="18"/>
            <w:szCs w:val="18"/>
            <w:lang w:val="en-US"/>
          </w:rPr>
          <w:t>www</w:t>
        </w:r>
        <w:r>
          <w:rPr>
            <w:rStyle w:val="a3"/>
            <w:rFonts w:ascii="Arial" w:hAnsi="Arial" w:cs="Arial"/>
            <w:b/>
            <w:bCs/>
            <w:color w:val="7F7F7F"/>
            <w:sz w:val="18"/>
            <w:szCs w:val="18"/>
          </w:rPr>
          <w:t>.</w:t>
        </w:r>
        <w:proofErr w:type="spellStart"/>
        <w:r>
          <w:rPr>
            <w:rStyle w:val="a3"/>
            <w:rFonts w:ascii="Arial" w:hAnsi="Arial" w:cs="Arial"/>
            <w:b/>
            <w:bCs/>
            <w:color w:val="7F7F7F"/>
            <w:sz w:val="18"/>
            <w:szCs w:val="18"/>
            <w:lang w:val="en-US"/>
          </w:rPr>
          <w:t>alfacapital</w:t>
        </w:r>
        <w:proofErr w:type="spellEnd"/>
        <w:r>
          <w:rPr>
            <w:rStyle w:val="a3"/>
            <w:rFonts w:ascii="Arial" w:hAnsi="Arial" w:cs="Arial"/>
            <w:b/>
            <w:bCs/>
            <w:color w:val="7F7F7F"/>
            <w:sz w:val="18"/>
            <w:szCs w:val="18"/>
          </w:rPr>
          <w:t>.</w:t>
        </w:r>
        <w:proofErr w:type="spellStart"/>
        <w:r>
          <w:rPr>
            <w:rStyle w:val="a3"/>
            <w:rFonts w:ascii="Arial" w:hAnsi="Arial" w:cs="Arial"/>
            <w:b/>
            <w:bCs/>
            <w:color w:val="7F7F7F"/>
            <w:sz w:val="18"/>
            <w:szCs w:val="18"/>
            <w:lang w:val="en-US"/>
          </w:rPr>
          <w:t>ru</w:t>
        </w:r>
        <w:proofErr w:type="spellEnd"/>
      </w:hyperlink>
    </w:p>
    <w:p w:rsidR="00FE5570" w:rsidRDefault="00FE5570" w:rsidP="00FE5570">
      <w:r>
        <w:rPr>
          <w:rFonts w:ascii="Calibri" w:hAnsi="Calibri"/>
          <w:color w:val="1F497D"/>
          <w:sz w:val="22"/>
          <w:szCs w:val="22"/>
        </w:rPr>
        <w:t> </w:t>
      </w:r>
    </w:p>
    <w:p w:rsidR="00FE5570" w:rsidRDefault="00FE5570" w:rsidP="00FE5570">
      <w:r>
        <w:rPr>
          <w:rFonts w:ascii="Calibri" w:hAnsi="Calibri"/>
          <w:color w:val="1F497D"/>
          <w:sz w:val="22"/>
          <w:szCs w:val="22"/>
        </w:rPr>
        <w:t> </w:t>
      </w:r>
    </w:p>
    <w:p w:rsidR="00FE5570" w:rsidRDefault="00FE5570" w:rsidP="00FE5570">
      <w:pPr>
        <w:rPr>
          <w:rFonts w:eastAsia="Times New Roman"/>
        </w:rPr>
      </w:pPr>
      <w:r>
        <w:rPr>
          <w:rFonts w:ascii="Calibri" w:eastAsia="Times New Roman" w:hAnsi="Calibri"/>
          <w:color w:val="808080"/>
          <w:sz w:val="15"/>
          <w:szCs w:val="15"/>
        </w:rPr>
        <w:t>Отправитель не отвечает за точность и полноту передачи информации, содержащейся в данном электронном сообщении, а также за своевременность ее получения. Информация, содержащаяся в настоящем письме, не является исчерпывающей. Информация не является какого-либо рода офертой, не подразумевалась в качестве оферты или приглашения делать оферты, не является прогнозом событий, инвестиционным анализом или профессиональным советом, не имеет целью рекламу, размещение или публичное предложение любых ценных бумаг, продуктов или услуг, если иное прямо не предусмотрено в настоящем сообщении или любых приложениях к нему. Данное письмо/сообщение не содержит описания всех рисков, присущих инвестированию на рынке ценных бумаг. Результаты инвестирования в прошлом не определяют доходы в будущем. Информация, приведенная в сообщении, является индикативной и предназначена для профессиональных инвесторов. Информация не предназначена для использования третьими лицами.</w:t>
      </w:r>
      <w:r>
        <w:rPr>
          <w:rFonts w:eastAsia="Times New Roman"/>
        </w:rPr>
        <w:t xml:space="preserve"> </w:t>
      </w:r>
    </w:p>
    <w:p w:rsidR="006D56DD" w:rsidRDefault="00FE5570" w:rsidP="00FE5570">
      <w:pPr>
        <w:jc w:val="both"/>
      </w:pPr>
    </w:p>
    <w:sectPr w:rsidR="006D5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70"/>
    <w:rsid w:val="009704A3"/>
    <w:rsid w:val="00C17974"/>
    <w:rsid w:val="00FE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2A824-62CF-480B-A5D0-6710B0C1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570"/>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5570"/>
    <w:rPr>
      <w:color w:val="0000FF"/>
      <w:u w:val="single"/>
    </w:rPr>
  </w:style>
  <w:style w:type="paragraph" w:customStyle="1" w:styleId="a30">
    <w:name w:val="a3"/>
    <w:basedOn w:val="a"/>
    <w:rsid w:val="00FE5570"/>
    <w:pPr>
      <w:spacing w:before="80"/>
      <w:jc w:val="both"/>
    </w:pPr>
    <w:rPr>
      <w:rFonts w:ascii="Arial Narrow" w:hAnsi="Arial Narrow"/>
      <w:sz w:val="16"/>
      <w:szCs w:val="16"/>
    </w:rPr>
  </w:style>
  <w:style w:type="paragraph" w:customStyle="1" w:styleId="a5">
    <w:name w:val="a5"/>
    <w:basedOn w:val="a"/>
    <w:rsid w:val="00FE5570"/>
    <w:rPr>
      <w:rFonts w:ascii="Arial" w:hAnsi="Arial" w:cs="Arial"/>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gif"/><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cid:image002.jpg@01D07B86.26FCF310" TargetMode="External"/><Relationship Id="rId12" Type="http://schemas.openxmlformats.org/officeDocument/2006/relationships/hyperlink" Target="mailto:i.balalueva@alfacapital.ru" TargetMode="External"/><Relationship Id="rId17" Type="http://schemas.openxmlformats.org/officeDocument/2006/relationships/hyperlink" Target="https://www.facebook.com/ira.balalueva" TargetMode="External"/><Relationship Id="rId2" Type="http://schemas.openxmlformats.org/officeDocument/2006/relationships/settings" Target="settings.xml"/><Relationship Id="rId16" Type="http://schemas.openxmlformats.org/officeDocument/2006/relationships/image" Target="cid:image006.gif@01D07B86.26FCF310" TargetMode="External"/><Relationship Id="rId20" Type="http://schemas.openxmlformats.org/officeDocument/2006/relationships/hyperlink" Target="http://www.alfacapital.ru/"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D07B86.26FCF310" TargetMode="External"/><Relationship Id="rId5" Type="http://schemas.openxmlformats.org/officeDocument/2006/relationships/image" Target="cid:image001.jpg@01D07B86.26FCF310" TargetMode="External"/><Relationship Id="rId15" Type="http://schemas.openxmlformats.org/officeDocument/2006/relationships/image" Target="media/image6.gif"/><Relationship Id="rId10" Type="http://schemas.openxmlformats.org/officeDocument/2006/relationships/image" Target="media/image4.jpeg"/><Relationship Id="rId19" Type="http://schemas.openxmlformats.org/officeDocument/2006/relationships/image" Target="cid:image007.png@01D07B86.26FCF310" TargetMode="External"/><Relationship Id="rId4" Type="http://schemas.openxmlformats.org/officeDocument/2006/relationships/image" Target="media/image1.jpeg"/><Relationship Id="rId9" Type="http://schemas.openxmlformats.org/officeDocument/2006/relationships/image" Target="cid:image003.jpg@01D07B86.26FCF310" TargetMode="External"/><Relationship Id="rId14" Type="http://schemas.openxmlformats.org/officeDocument/2006/relationships/image" Target="cid:image005.gif@01D07B86.26FCF3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Office Word</Application>
  <DocSecurity>0</DocSecurity>
  <Lines>43</Lines>
  <Paragraphs>12</Paragraphs>
  <ScaleCrop>false</ScaleCrop>
  <Company>FINAM</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Кириллова Ольга Олеговна</dc:creator>
  <cp:keywords/>
  <dc:description/>
  <cp:lastModifiedBy>Кириллова Ольга Олеговна</cp:lastModifiedBy>
  <cp:revision>1</cp:revision>
  <dcterms:created xsi:type="dcterms:W3CDTF">2015-04-20T14:04:00Z</dcterms:created>
  <dcterms:modified xsi:type="dcterms:W3CDTF">2015-04-20T14:05:00Z</dcterms:modified>
</cp:coreProperties>
</file>