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4D" w:rsidRDefault="00DD2196" w:rsidP="00F13A4D">
      <w:pPr>
        <w:jc w:val="both"/>
        <w:rPr>
          <w:b/>
          <w:bCs/>
          <w:sz w:val="20"/>
          <w:szCs w:val="20"/>
        </w:rPr>
      </w:pPr>
      <w:r>
        <w:t xml:space="preserve"> </w:t>
      </w:r>
      <w:r w:rsidR="00F13A4D">
        <w:rPr>
          <w:b/>
          <w:bCs/>
          <w:sz w:val="20"/>
          <w:szCs w:val="20"/>
        </w:rPr>
        <w:t>Тенденции. Постепенное затухание активности</w:t>
      </w:r>
    </w:p>
    <w:p w:rsidR="00F13A4D" w:rsidRDefault="00F13A4D" w:rsidP="00F13A4D">
      <w:pPr>
        <w:jc w:val="both"/>
        <w:rPr>
          <w:sz w:val="20"/>
          <w:szCs w:val="20"/>
        </w:rPr>
      </w:pPr>
    </w:p>
    <w:p w:rsidR="00F13A4D" w:rsidRDefault="00F13A4D" w:rsidP="00F13A4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Ситуация на долговом рынке Европы резко изменилась после саммита Евросоюза. Из-за роста цен доходность облигаций Испании, Бельгии и Италии существенно снизилась. А доходность двухлетних облигаций Франции упала с 1,8 до 0,8% и достигла минимальных значений, полученных в сентябре. Связано это было с все более настойчивыми попытками властей Евросоюза найти пути решения долговых проблем. А с другой стороны график необходимых погашений в декабре оказывается заметно менее плотным, чем в ноябре. На фоне стабилизации понижение агентством </w:t>
      </w:r>
      <w:r>
        <w:rPr>
          <w:sz w:val="20"/>
          <w:szCs w:val="20"/>
          <w:lang w:val="en-US"/>
        </w:rPr>
        <w:t>Moody</w:t>
      </w:r>
      <w:r>
        <w:rPr>
          <w:sz w:val="20"/>
          <w:szCs w:val="20"/>
        </w:rPr>
        <w:t>’</w:t>
      </w:r>
      <w:r>
        <w:rPr>
          <w:sz w:val="20"/>
          <w:szCs w:val="20"/>
          <w:lang w:val="en-US"/>
        </w:rPr>
        <w:t>s</w:t>
      </w:r>
      <w:r w:rsidRPr="00F13A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рейтинга Бельгии не произвело большого впечатления на </w:t>
      </w:r>
      <w:proofErr w:type="gramStart"/>
      <w:r>
        <w:rPr>
          <w:sz w:val="20"/>
          <w:szCs w:val="20"/>
        </w:rPr>
        <w:t>инвесторов</w:t>
      </w:r>
      <w:proofErr w:type="gramEnd"/>
      <w:r>
        <w:rPr>
          <w:sz w:val="20"/>
          <w:szCs w:val="20"/>
        </w:rPr>
        <w:t xml:space="preserve"> и доходность облигаций Бельгии сохранила снижающийся тренд. Таким образом, можно говорить о том, что острота долгового кризиса в Европе временно снята и пока не играет столь существенной роли, как это было еще несколько недель назад. (Пальму первенства по обсуждению долговых проблем в ближайшее время будут перехватывать США). </w:t>
      </w:r>
    </w:p>
    <w:p w:rsidR="00F13A4D" w:rsidRDefault="00F13A4D" w:rsidP="00F13A4D">
      <w:pPr>
        <w:jc w:val="both"/>
        <w:rPr>
          <w:sz w:val="20"/>
          <w:szCs w:val="20"/>
        </w:rPr>
      </w:pPr>
    </w:p>
    <w:p w:rsidR="00F13A4D" w:rsidRDefault="00F13A4D" w:rsidP="00F13A4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наступающей неделе основное внимание нашего рынка вновь будет сосредоточено вокруг динамики цен на нефть. После решения ОПЕК от 14 декабря о повышении квот на добычу нефти с 24,8 до 30 долларов за баррель реально в балансе добычи и потребления черного золота мало что </w:t>
      </w:r>
      <w:proofErr w:type="gramStart"/>
      <w:r>
        <w:rPr>
          <w:sz w:val="20"/>
          <w:szCs w:val="20"/>
        </w:rPr>
        <w:t>изменяется</w:t>
      </w:r>
      <w:proofErr w:type="gramEnd"/>
      <w:r>
        <w:rPr>
          <w:sz w:val="20"/>
          <w:szCs w:val="20"/>
        </w:rPr>
        <w:t xml:space="preserve"> поскольку реальный объем добычи нефти странами ОПЕК превышал 30 долларов за баррель. Однако первое за прошедшие три года повышение квот на добычу может являться сигналом для инвесторов о том, что начинается игра на понижение цен. Прошедшее на прошлой неделе снижение цен на нефть марки </w:t>
      </w:r>
      <w:r>
        <w:rPr>
          <w:sz w:val="20"/>
          <w:szCs w:val="20"/>
          <w:lang w:val="en-US"/>
        </w:rPr>
        <w:t>Brent</w:t>
      </w:r>
      <w:r>
        <w:rPr>
          <w:sz w:val="20"/>
          <w:szCs w:val="20"/>
        </w:rPr>
        <w:t xml:space="preserve">  со 110 до 103 долларов за баррель и американской легкой нефти марки </w:t>
      </w:r>
      <w:r>
        <w:rPr>
          <w:sz w:val="20"/>
          <w:szCs w:val="20"/>
          <w:lang w:val="en-US"/>
        </w:rPr>
        <w:t>WTI</w:t>
      </w:r>
      <w:r>
        <w:rPr>
          <w:sz w:val="20"/>
          <w:szCs w:val="20"/>
        </w:rPr>
        <w:t xml:space="preserve"> со 100 до 93 долларов за баррель указывает, что опасения в начале серьезной игры на понижение не лишены некоторых оснований. Видим, что </w:t>
      </w:r>
      <w:proofErr w:type="gramStart"/>
      <w:r>
        <w:rPr>
          <w:sz w:val="20"/>
          <w:szCs w:val="20"/>
        </w:rPr>
        <w:t>факторы</w:t>
      </w:r>
      <w:proofErr w:type="gramEnd"/>
      <w:r>
        <w:rPr>
          <w:sz w:val="20"/>
          <w:szCs w:val="20"/>
        </w:rPr>
        <w:t xml:space="preserve"> направленные на рост цен черного золота вроде поступившей на прошлой неделе информации о начале заполнения нефтяных хранилищ на северо-западе Китая пока были проигнорированы рынком. </w:t>
      </w:r>
    </w:p>
    <w:p w:rsidR="00F13A4D" w:rsidRDefault="00F13A4D" w:rsidP="00F13A4D">
      <w:pPr>
        <w:jc w:val="both"/>
        <w:rPr>
          <w:sz w:val="20"/>
          <w:szCs w:val="20"/>
        </w:rPr>
      </w:pPr>
    </w:p>
    <w:p w:rsidR="00F13A4D" w:rsidRDefault="00F13A4D" w:rsidP="00F13A4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 стороны спроса основных потребителей тоже можно предвидеть подвижки, способствующие снижению цен. США ставят амбициозные задачи (во всяком </w:t>
      </w:r>
      <w:proofErr w:type="gramStart"/>
      <w:r>
        <w:rPr>
          <w:sz w:val="20"/>
          <w:szCs w:val="20"/>
        </w:rPr>
        <w:t>случае</w:t>
      </w:r>
      <w:proofErr w:type="gramEnd"/>
      <w:r>
        <w:rPr>
          <w:sz w:val="20"/>
          <w:szCs w:val="20"/>
        </w:rPr>
        <w:t xml:space="preserve"> проводя мощную пропагандистскую компанию) по снижению энергетической зависимости. В 2011 году США превратились из нетто импортера нефтепродуктов в нетто экспортера. Снизившиеся в результате кризиса объемы потребления нефтепродуктов до 19 млн. баррелей в сутки по прежнему не желают подрастать и скорей проявляют склонность к дальнейшему снижению. Да и экспорт нефти главным экспортером мира застыл вблизи отметки в 9 млн. баррелей в сутки и не проявляет желания к росту. (Стоит отметить, что уровни вблизи 9-10 млн. баррелей в сутки США выдерживают последние 10 лет). </w:t>
      </w:r>
    </w:p>
    <w:p w:rsidR="00F13A4D" w:rsidRDefault="00F13A4D" w:rsidP="00F13A4D">
      <w:pPr>
        <w:jc w:val="both"/>
        <w:rPr>
          <w:sz w:val="20"/>
          <w:szCs w:val="20"/>
        </w:rPr>
      </w:pPr>
    </w:p>
    <w:p w:rsidR="00F13A4D" w:rsidRDefault="00F13A4D" w:rsidP="00F13A4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Биржи ММВБ и РТС проводят ряд мероприятий, связанных с объединением бирж. Формируются единые листинги, единый доступ ко всем торгуемым инструментам. После периода утрясок клиенты должны почувствовать удобство от общения с объединенной биржей. Из корпоративных новостей предстоящих дней можно обратить внимание на ожидаемый выход отчетности по международным стандартам за 3 кв. 2011 года </w:t>
      </w:r>
      <w:proofErr w:type="spellStart"/>
      <w:r>
        <w:rPr>
          <w:sz w:val="20"/>
          <w:szCs w:val="20"/>
        </w:rPr>
        <w:t>Транснефти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Алросса</w:t>
      </w:r>
      <w:proofErr w:type="spellEnd"/>
      <w:r>
        <w:rPr>
          <w:sz w:val="20"/>
          <w:szCs w:val="20"/>
        </w:rPr>
        <w:t xml:space="preserve">, ЧТЗ. Операционные результаты опубликует </w:t>
      </w:r>
      <w:proofErr w:type="spellStart"/>
      <w:r>
        <w:rPr>
          <w:sz w:val="20"/>
          <w:szCs w:val="20"/>
        </w:rPr>
        <w:t>Верофарм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РусГидро</w:t>
      </w:r>
      <w:proofErr w:type="spellEnd"/>
      <w:r>
        <w:rPr>
          <w:sz w:val="20"/>
          <w:szCs w:val="20"/>
        </w:rPr>
        <w:t xml:space="preserve"> планирует ввести первый новый </w:t>
      </w:r>
      <w:proofErr w:type="spellStart"/>
      <w:r>
        <w:rPr>
          <w:sz w:val="20"/>
          <w:szCs w:val="20"/>
        </w:rPr>
        <w:t>гидрогрегат</w:t>
      </w:r>
      <w:proofErr w:type="spellEnd"/>
      <w:r>
        <w:rPr>
          <w:sz w:val="20"/>
          <w:szCs w:val="20"/>
        </w:rPr>
        <w:t xml:space="preserve"> на СШ ГЭС. СД </w:t>
      </w:r>
      <w:proofErr w:type="spellStart"/>
      <w:r>
        <w:rPr>
          <w:sz w:val="20"/>
          <w:szCs w:val="20"/>
        </w:rPr>
        <w:t>Ленэнерго</w:t>
      </w:r>
      <w:proofErr w:type="spellEnd"/>
      <w:r>
        <w:rPr>
          <w:sz w:val="20"/>
          <w:szCs w:val="20"/>
        </w:rPr>
        <w:t xml:space="preserve"> рассмотрит вопрос о дополнительной эмиссии акций. Будут опубликованы ключевые социально-экономические показатели за ноябрь. </w:t>
      </w:r>
      <w:proofErr w:type="spellStart"/>
      <w:r>
        <w:rPr>
          <w:sz w:val="20"/>
          <w:szCs w:val="20"/>
        </w:rPr>
        <w:t>Распадская</w:t>
      </w:r>
      <w:proofErr w:type="spellEnd"/>
      <w:r>
        <w:rPr>
          <w:sz w:val="20"/>
          <w:szCs w:val="20"/>
        </w:rPr>
        <w:t xml:space="preserve"> начнет выкуп акций. Полагаем, что акциям компании в ближайшие полтора месяца будет уготована интересная динамика. </w:t>
      </w:r>
    </w:p>
    <w:p w:rsidR="00F13A4D" w:rsidRDefault="00F13A4D" w:rsidP="00F13A4D">
      <w:pPr>
        <w:jc w:val="both"/>
        <w:rPr>
          <w:sz w:val="20"/>
          <w:szCs w:val="20"/>
        </w:rPr>
      </w:pPr>
    </w:p>
    <w:p w:rsidR="00F13A4D" w:rsidRDefault="00F13A4D" w:rsidP="00F13A4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Достигнутый к концу прошлой недели уровень вблизи 1400 пунктов по индексу ММВБ является достаточно принципиальным - именно уровни вблизи 1400 пунктов смогли в ноябре отразить снижение и начать новый весьма впечатляющий рост. Однако сейчас медвежий настрой выглядит более серьезным – цены на нефть показывают весьма впечатляющее снижение. Тем не менее, особенной агрессии в распродажах пока быть не должно - наступающая неделя закончится празднованием Рождества в странах запада. Поэтому активность на биржах к окончанию недели будет снижаться, да и дневные объемы торгов на биржах в последующие две недели будут постепенно уменьшаться, стремясь к новогодним минимумам. Полагаем, что все же можно будет ждать выборочной активности в некоторых бумагах. На низко активной неделе перед новым годом возможны более динамичные игры. Правда с учетом того, что в новогодние праздники торговля будет продолжаться создавать большие ценовые разрывы и особенно отрываться от котировок </w:t>
      </w:r>
      <w:r>
        <w:rPr>
          <w:sz w:val="20"/>
          <w:szCs w:val="20"/>
          <w:lang w:val="en-US"/>
        </w:rPr>
        <w:t>ADR</w:t>
      </w:r>
      <w:r w:rsidRPr="00F13A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будет </w:t>
      </w:r>
      <w:proofErr w:type="gramStart"/>
      <w:r>
        <w:rPr>
          <w:sz w:val="20"/>
          <w:szCs w:val="20"/>
        </w:rPr>
        <w:t>несподручно</w:t>
      </w:r>
      <w:proofErr w:type="gramEnd"/>
      <w:r>
        <w:rPr>
          <w:sz w:val="20"/>
          <w:szCs w:val="20"/>
        </w:rPr>
        <w:t xml:space="preserve">. Поэтому более вероятным представляется продолжение унылого сползания. </w:t>
      </w:r>
    </w:p>
    <w:p w:rsidR="00F13A4D" w:rsidRDefault="00F13A4D" w:rsidP="00F13A4D">
      <w:pPr>
        <w:rPr>
          <w:sz w:val="20"/>
          <w:szCs w:val="20"/>
        </w:rPr>
      </w:pPr>
    </w:p>
    <w:p w:rsidR="00F13A4D" w:rsidRDefault="00F13A4D" w:rsidP="00F13A4D">
      <w:pPr>
        <w:rPr>
          <w:sz w:val="20"/>
          <w:szCs w:val="20"/>
        </w:rPr>
      </w:pPr>
    </w:p>
    <w:p w:rsidR="00F13A4D" w:rsidRDefault="00F13A4D" w:rsidP="00F13A4D">
      <w:pPr>
        <w:rPr>
          <w:sz w:val="20"/>
          <w:szCs w:val="20"/>
        </w:rPr>
      </w:pPr>
      <w:r>
        <w:rPr>
          <w:sz w:val="20"/>
          <w:szCs w:val="20"/>
        </w:rPr>
        <w:t xml:space="preserve">Николай </w:t>
      </w:r>
      <w:proofErr w:type="spellStart"/>
      <w:r>
        <w:rPr>
          <w:sz w:val="20"/>
          <w:szCs w:val="20"/>
        </w:rPr>
        <w:t>Подлевских</w:t>
      </w:r>
      <w:proofErr w:type="spellEnd"/>
      <w:r>
        <w:rPr>
          <w:sz w:val="20"/>
          <w:szCs w:val="20"/>
        </w:rPr>
        <w:t>, Начальник аналитического отдела ИК «</w:t>
      </w:r>
      <w:proofErr w:type="spellStart"/>
      <w:r>
        <w:rPr>
          <w:sz w:val="20"/>
          <w:szCs w:val="20"/>
        </w:rPr>
        <w:t>Церих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Кэпитал</w:t>
      </w:r>
      <w:proofErr w:type="spellEnd"/>
      <w:r>
        <w:rPr>
          <w:sz w:val="20"/>
          <w:szCs w:val="20"/>
        </w:rPr>
        <w:t xml:space="preserve"> Менеджмент» </w:t>
      </w:r>
    </w:p>
    <w:p w:rsidR="00A45CEE" w:rsidRDefault="00A45CEE" w:rsidP="00DD2196"/>
    <w:sectPr w:rsidR="00A45CEE" w:rsidSect="00A4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561F6"/>
    <w:rsid w:val="00050DE3"/>
    <w:rsid w:val="001561F6"/>
    <w:rsid w:val="002167A9"/>
    <w:rsid w:val="0048139D"/>
    <w:rsid w:val="00647734"/>
    <w:rsid w:val="00931863"/>
    <w:rsid w:val="00A45CEE"/>
    <w:rsid w:val="00B21779"/>
    <w:rsid w:val="00B907F3"/>
    <w:rsid w:val="00BF153D"/>
    <w:rsid w:val="00C50EFC"/>
    <w:rsid w:val="00DD2196"/>
    <w:rsid w:val="00F13A4D"/>
    <w:rsid w:val="00F8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F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688</Words>
  <Characters>3927</Characters>
  <Application>Microsoft Office Word</Application>
  <DocSecurity>0</DocSecurity>
  <Lines>32</Lines>
  <Paragraphs>9</Paragraphs>
  <ScaleCrop>false</ScaleCrop>
  <Company>Finam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sepishkina</dc:creator>
  <cp:keywords/>
  <dc:description/>
  <cp:lastModifiedBy>sepishkina</cp:lastModifiedBy>
  <cp:revision>6</cp:revision>
  <dcterms:created xsi:type="dcterms:W3CDTF">2011-11-21T06:50:00Z</dcterms:created>
  <dcterms:modified xsi:type="dcterms:W3CDTF">2011-12-19T08:36:00Z</dcterms:modified>
</cp:coreProperties>
</file>