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0" w:type="dxa"/>
        <w:tblCellSpacing w:w="0" w:type="dxa"/>
        <w:tblCellMar>
          <w:left w:w="0" w:type="dxa"/>
          <w:right w:w="0" w:type="dxa"/>
        </w:tblCellMar>
        <w:tblLook w:val="04A0" w:firstRow="1" w:lastRow="0" w:firstColumn="1" w:lastColumn="0" w:noHBand="0" w:noVBand="1"/>
      </w:tblPr>
      <w:tblGrid>
        <w:gridCol w:w="10530"/>
      </w:tblGrid>
      <w:tr w:rsidR="005E35B3" w:rsidTr="005E35B3">
        <w:trPr>
          <w:tblCellSpacing w:w="0" w:type="dxa"/>
        </w:trPr>
        <w:tc>
          <w:tcPr>
            <w:tcW w:w="0" w:type="auto"/>
            <w:vAlign w:val="center"/>
            <w:hideMark/>
          </w:tcPr>
          <w:p w:rsidR="005E35B3" w:rsidRDefault="005E35B3">
            <w:r>
              <w:rPr>
                <w:rFonts w:ascii="Arial" w:hAnsi="Arial" w:cs="Arial"/>
                <w:noProof/>
                <w:color w:val="1F497D"/>
                <w:sz w:val="26"/>
                <w:szCs w:val="26"/>
              </w:rPr>
              <w:drawing>
                <wp:inline distT="0" distB="0" distL="0" distR="0">
                  <wp:extent cx="6677025" cy="2447925"/>
                  <wp:effectExtent l="0" t="0" r="9525" b="9525"/>
                  <wp:docPr id="5" name="Рисунок 5" descr="cid:image001.jpg@01CE7F0D.5D52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7F0D.5D5225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677025" cy="2447925"/>
                          </a:xfrm>
                          <a:prstGeom prst="rect">
                            <a:avLst/>
                          </a:prstGeom>
                          <a:noFill/>
                          <a:ln>
                            <a:noFill/>
                          </a:ln>
                        </pic:spPr>
                      </pic:pic>
                    </a:graphicData>
                  </a:graphic>
                </wp:inline>
              </w:drawing>
            </w:r>
          </w:p>
        </w:tc>
      </w:tr>
      <w:tr w:rsidR="005E35B3" w:rsidTr="005E35B3">
        <w:trPr>
          <w:tblCellSpacing w:w="0" w:type="dxa"/>
        </w:trPr>
        <w:tc>
          <w:tcPr>
            <w:tcW w:w="0" w:type="auto"/>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409"/>
              <w:gridCol w:w="10115"/>
              <w:gridCol w:w="6"/>
            </w:tblGrid>
            <w:tr w:rsidR="005E35B3">
              <w:trPr>
                <w:trHeight w:val="150"/>
                <w:tblCellSpacing w:w="0" w:type="dxa"/>
              </w:trPr>
              <w:tc>
                <w:tcPr>
                  <w:tcW w:w="408" w:type="dxa"/>
                  <w:shd w:val="clear" w:color="auto" w:fill="FFFFFF"/>
                  <w:vAlign w:val="center"/>
                  <w:hideMark/>
                </w:tcPr>
                <w:p w:rsidR="005E35B3" w:rsidRDefault="005E35B3"/>
              </w:tc>
              <w:tc>
                <w:tcPr>
                  <w:tcW w:w="10101" w:type="dxa"/>
                  <w:shd w:val="clear" w:color="auto" w:fill="FFFFFF"/>
                  <w:vAlign w:val="center"/>
                  <w:hideMark/>
                </w:tcPr>
                <w:p w:rsidR="005E35B3" w:rsidRDefault="005E35B3">
                  <w:pPr>
                    <w:rPr>
                      <w:rFonts w:eastAsia="Times New Roman"/>
                      <w:sz w:val="20"/>
                      <w:szCs w:val="20"/>
                    </w:rPr>
                  </w:pPr>
                </w:p>
              </w:tc>
              <w:tc>
                <w:tcPr>
                  <w:tcW w:w="6" w:type="dxa"/>
                  <w:shd w:val="clear" w:color="auto" w:fill="FFFFFF"/>
                  <w:vAlign w:val="center"/>
                  <w:hideMark/>
                </w:tcPr>
                <w:p w:rsidR="005E35B3" w:rsidRDefault="005E35B3">
                  <w:pPr>
                    <w:rPr>
                      <w:rFonts w:eastAsia="Times New Roman"/>
                      <w:sz w:val="20"/>
                      <w:szCs w:val="20"/>
                    </w:rPr>
                  </w:pPr>
                </w:p>
              </w:tc>
            </w:tr>
            <w:tr w:rsidR="005E35B3">
              <w:trPr>
                <w:trHeight w:val="420"/>
                <w:tblCellSpacing w:w="0" w:type="dxa"/>
              </w:trPr>
              <w:tc>
                <w:tcPr>
                  <w:tcW w:w="408" w:type="dxa"/>
                  <w:vAlign w:val="center"/>
                  <w:hideMark/>
                </w:tcPr>
                <w:p w:rsidR="005E35B3" w:rsidRDefault="005E35B3">
                  <w:r>
                    <w:rPr>
                      <w:rFonts w:ascii="Arial" w:hAnsi="Arial" w:cs="Arial"/>
                      <w:sz w:val="26"/>
                      <w:szCs w:val="26"/>
                    </w:rPr>
                    <w:t> </w:t>
                  </w:r>
                </w:p>
              </w:tc>
              <w:tc>
                <w:tcPr>
                  <w:tcW w:w="10101" w:type="dxa"/>
                  <w:vAlign w:val="center"/>
                  <w:hideMark/>
                </w:tcPr>
                <w:p w:rsidR="005E35B3" w:rsidRDefault="005E35B3"/>
              </w:tc>
              <w:tc>
                <w:tcPr>
                  <w:tcW w:w="6" w:type="dxa"/>
                  <w:vAlign w:val="center"/>
                  <w:hideMark/>
                </w:tcPr>
                <w:p w:rsidR="005E35B3" w:rsidRDefault="005E35B3">
                  <w:pPr>
                    <w:rPr>
                      <w:rFonts w:eastAsia="Times New Roman"/>
                      <w:sz w:val="20"/>
                      <w:szCs w:val="20"/>
                    </w:rPr>
                  </w:pPr>
                </w:p>
              </w:tc>
            </w:tr>
            <w:tr w:rsidR="005E35B3">
              <w:trPr>
                <w:tblCellSpacing w:w="0" w:type="dxa"/>
              </w:trPr>
              <w:tc>
                <w:tcPr>
                  <w:tcW w:w="408" w:type="dxa"/>
                  <w:vAlign w:val="center"/>
                  <w:hideMark/>
                </w:tcPr>
                <w:p w:rsidR="005E35B3" w:rsidRDefault="005E35B3">
                  <w:pPr>
                    <w:rPr>
                      <w:rFonts w:eastAsia="Times New Roman"/>
                      <w:sz w:val="20"/>
                      <w:szCs w:val="20"/>
                    </w:rPr>
                  </w:pPr>
                </w:p>
              </w:tc>
              <w:tc>
                <w:tcPr>
                  <w:tcW w:w="10101"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515"/>
                    <w:gridCol w:w="600"/>
                  </w:tblGrid>
                  <w:tr w:rsidR="005E35B3">
                    <w:trPr>
                      <w:tblCellSpacing w:w="0" w:type="dxa"/>
                    </w:trPr>
                    <w:tc>
                      <w:tcPr>
                        <w:tcW w:w="0" w:type="auto"/>
                        <w:vAlign w:val="center"/>
                        <w:hideMark/>
                      </w:tcPr>
                      <w:p w:rsidR="005E35B3" w:rsidRDefault="005E35B3">
                        <w:r>
                          <w:rPr>
                            <w:rFonts w:ascii="Arial" w:hAnsi="Arial" w:cs="Arial"/>
                            <w:color w:val="1F497D"/>
                            <w:sz w:val="26"/>
                            <w:szCs w:val="26"/>
                          </w:rPr>
                          <w:t> </w:t>
                        </w:r>
                        <w:r>
                          <w:rPr>
                            <w:rFonts w:ascii="Arial" w:hAnsi="Arial" w:cs="Arial"/>
                            <w:b/>
                            <w:bCs/>
                            <w:sz w:val="26"/>
                            <w:szCs w:val="26"/>
                          </w:rPr>
                          <w:t>Рынок акций</w:t>
                        </w:r>
                      </w:p>
                      <w:p w:rsidR="005E35B3" w:rsidRDefault="005E35B3">
                        <w:r>
                          <w:rPr>
                            <w:rFonts w:ascii="Arial" w:hAnsi="Arial" w:cs="Arial"/>
                            <w:sz w:val="26"/>
                            <w:szCs w:val="26"/>
                          </w:rPr>
                          <w:t> </w:t>
                        </w:r>
                      </w:p>
                      <w:p w:rsidR="005E35B3" w:rsidRDefault="005E35B3">
                        <w:pPr>
                          <w:spacing w:after="240"/>
                        </w:pPr>
                        <w:r>
                          <w:rPr>
                            <w:rFonts w:ascii="Arial" w:hAnsi="Arial" w:cs="Arial"/>
                            <w:noProof/>
                            <w:sz w:val="26"/>
                            <w:szCs w:val="26"/>
                          </w:rPr>
                          <w:drawing>
                            <wp:inline distT="0" distB="0" distL="0" distR="0">
                              <wp:extent cx="1190625" cy="1190625"/>
                              <wp:effectExtent l="0" t="0" r="9525" b="9525"/>
                              <wp:docPr id="4" name="Рисунок 4"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7D8D.1A6B3F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5E35B3" w:rsidRDefault="005E35B3">
                        <w:r>
                          <w:rPr>
                            <w:rFonts w:ascii="Arial" w:hAnsi="Arial" w:cs="Arial"/>
                            <w:b/>
                            <w:bCs/>
                            <w:sz w:val="26"/>
                            <w:szCs w:val="26"/>
                          </w:rPr>
                          <w:t xml:space="preserve">Владимир </w:t>
                        </w:r>
                        <w:proofErr w:type="gramStart"/>
                        <w:r>
                          <w:rPr>
                            <w:rFonts w:ascii="Arial" w:hAnsi="Arial" w:cs="Arial"/>
                            <w:b/>
                            <w:bCs/>
                            <w:sz w:val="26"/>
                            <w:szCs w:val="26"/>
                          </w:rPr>
                          <w:t>Брагин,</w:t>
                        </w:r>
                        <w:r>
                          <w:rPr>
                            <w:rFonts w:ascii="Arial" w:hAnsi="Arial" w:cs="Arial"/>
                            <w:b/>
                            <w:bCs/>
                            <w:sz w:val="26"/>
                            <w:szCs w:val="26"/>
                          </w:rPr>
                          <w:br/>
                        </w:r>
                        <w:r>
                          <w:rPr>
                            <w:rFonts w:ascii="Arial" w:hAnsi="Arial" w:cs="Arial"/>
                            <w:b/>
                            <w:bCs/>
                            <w:color w:val="FF0000"/>
                            <w:sz w:val="26"/>
                            <w:szCs w:val="26"/>
                          </w:rPr>
                          <w:t>директор</w:t>
                        </w:r>
                        <w:proofErr w:type="gramEnd"/>
                        <w:r>
                          <w:rPr>
                            <w:rFonts w:ascii="Arial" w:hAnsi="Arial" w:cs="Arial"/>
                            <w:b/>
                            <w:bCs/>
                            <w:color w:val="FF0000"/>
                            <w:sz w:val="26"/>
                            <w:szCs w:val="26"/>
                          </w:rPr>
                          <w:t xml:space="preserve"> по анализу финансовых рынков</w:t>
                        </w:r>
                        <w:r>
                          <w:rPr>
                            <w:rFonts w:ascii="Arial" w:hAnsi="Arial" w:cs="Arial"/>
                            <w:b/>
                            <w:bCs/>
                            <w:color w:val="FF0000"/>
                            <w:sz w:val="26"/>
                            <w:szCs w:val="26"/>
                          </w:rPr>
                          <w:br/>
                          <w:t>и макроэкономики УК «Альфа-Капитал»</w:t>
                        </w:r>
                      </w:p>
                      <w:p w:rsidR="005E35B3" w:rsidRDefault="005E35B3">
                        <w:pPr>
                          <w:jc w:val="both"/>
                        </w:pPr>
                        <w:r>
                          <w:rPr>
                            <w:rFonts w:ascii="Arial" w:hAnsi="Arial" w:cs="Arial"/>
                            <w:color w:val="1F497D"/>
                            <w:sz w:val="22"/>
                            <w:szCs w:val="22"/>
                          </w:rPr>
                          <w:t> </w:t>
                        </w:r>
                      </w:p>
                      <w:p w:rsidR="005E35B3" w:rsidRDefault="005E35B3">
                        <w:pPr>
                          <w:pStyle w:val="a30"/>
                        </w:pPr>
                        <w:r>
                          <w:rPr>
                            <w:rFonts w:ascii="Arial" w:hAnsi="Arial" w:cs="Arial"/>
                            <w:sz w:val="22"/>
                            <w:szCs w:val="22"/>
                          </w:rPr>
                          <w:t>На российском рынке акций продолжаются покупки. Рублевый индекс ММВБ начал неделю с пробития верхней границы диапазона в 1300‒1600 пунктов, в котором он торгуется в последние три года. «Долларовый» РТС за прошедшие пять торговых дней вырос на 2,46% даже несмотря на то, что курс USD/RUB вырос на 2,85%. Как мы и ожидали, инвесторы возвращаются на российский рынок после длинных праздников, наращивая позиции в акциях, но предпочитают консервативный подход и покупают в основном защищенные от внутренних рисков бумаги компаний-экспортеров. При этом акции компаний, чувствительных к состоянию экономики РФ (банки, компании потребительского сектора и электроэнергетика), с начала года в лучшем случае выглядят не лучше рынка в целом.</w:t>
                        </w:r>
                      </w:p>
                      <w:p w:rsidR="005E35B3" w:rsidRDefault="005E35B3">
                        <w:pPr>
                          <w:pStyle w:val="a30"/>
                        </w:pPr>
                        <w:r>
                          <w:rPr>
                            <w:rFonts w:ascii="Arial" w:hAnsi="Arial" w:cs="Arial"/>
                            <w:sz w:val="22"/>
                            <w:szCs w:val="22"/>
                          </w:rPr>
                          <w:t xml:space="preserve">На первый план снова выходит Украина. Эскалация конфликта на востоке страны пока не оказывает влияния на рынок, но инвесторы будут пристально следить за новостными заголовками, реакцией на ситуацию западных стран, оценивая существующие риски, в том числе возможное усиление (как минимум не ослабление в обозримом будущем) </w:t>
                        </w:r>
                        <w:proofErr w:type="spellStart"/>
                        <w:r>
                          <w:rPr>
                            <w:rFonts w:ascii="Arial" w:hAnsi="Arial" w:cs="Arial"/>
                            <w:sz w:val="22"/>
                            <w:szCs w:val="22"/>
                          </w:rPr>
                          <w:t>санкционного</w:t>
                        </w:r>
                        <w:proofErr w:type="spellEnd"/>
                        <w:r>
                          <w:rPr>
                            <w:rFonts w:ascii="Arial" w:hAnsi="Arial" w:cs="Arial"/>
                            <w:sz w:val="22"/>
                            <w:szCs w:val="22"/>
                          </w:rPr>
                          <w:t xml:space="preserve"> режима. Скорее всего, это вновь приведет к росту волатильности на фондовом рынке, в то же время внутренние факторы, в том числе макроэкономика, отойдут на второй план. </w:t>
                        </w:r>
                      </w:p>
                      <w:p w:rsidR="005E35B3" w:rsidRDefault="005E35B3">
                        <w:pPr>
                          <w:pStyle w:val="a30"/>
                        </w:pPr>
                        <w:r>
                          <w:rPr>
                            <w:rFonts w:ascii="Arial" w:hAnsi="Arial" w:cs="Arial"/>
                            <w:sz w:val="22"/>
                            <w:szCs w:val="22"/>
                          </w:rPr>
                          <w:t xml:space="preserve">В наших фондах мы делаем ставку на продолжение роста российского рынка в </w:t>
                        </w:r>
                        <w:r>
                          <w:rPr>
                            <w:rFonts w:ascii="Arial" w:hAnsi="Arial" w:cs="Arial"/>
                            <w:sz w:val="22"/>
                            <w:szCs w:val="22"/>
                            <w:lang w:val="en-US"/>
                          </w:rPr>
                          <w:t>I</w:t>
                        </w:r>
                        <w:r>
                          <w:rPr>
                            <w:rFonts w:ascii="Arial" w:hAnsi="Arial" w:cs="Arial"/>
                            <w:sz w:val="22"/>
                            <w:szCs w:val="22"/>
                          </w:rPr>
                          <w:t xml:space="preserve"> квартале 2015 года, которая уже дает свои плоды: ММВБ с начала года вырос на 15,22%. В то же время часть портфеля мы держим в акциях крупных компаний с развитых рынков, диверсифицируя российский риск. </w:t>
                        </w:r>
                      </w:p>
                      <w:p w:rsidR="005E35B3" w:rsidRDefault="005E35B3">
                        <w:pPr>
                          <w:pStyle w:val="a30"/>
                        </w:pPr>
                        <w:r>
                          <w:rPr>
                            <w:rFonts w:ascii="Arial" w:hAnsi="Arial" w:cs="Arial"/>
                            <w:sz w:val="22"/>
                            <w:szCs w:val="22"/>
                          </w:rPr>
                          <w:t xml:space="preserve">Что касается широкого российского рынка акций, то в 2015 году он имеет шансы устойчиво выйти из боковика 1300‒1600 по ММВБ. Это связано как с ослаблением рубля и связанным </w:t>
                        </w:r>
                        <w:r>
                          <w:rPr>
                            <w:rFonts w:ascii="Arial" w:hAnsi="Arial" w:cs="Arial"/>
                            <w:sz w:val="22"/>
                            <w:szCs w:val="22"/>
                          </w:rPr>
                          <w:lastRenderedPageBreak/>
                          <w:t>с этим улучшением состояния экспортеров, которых в ММВБ 75%, так и с тем, что в условиях снижения реальной заработной платы и роста безработицы компании смогут снизить издержки на рабочую силу.</w:t>
                        </w:r>
                      </w:p>
                      <w:p w:rsidR="005E35B3" w:rsidRDefault="005E35B3">
                        <w:pPr>
                          <w:pStyle w:val="a50"/>
                        </w:pPr>
                        <w:r>
                          <w:rPr>
                            <w:sz w:val="24"/>
                            <w:szCs w:val="24"/>
                          </w:rPr>
                          <w:t> </w:t>
                        </w:r>
                      </w:p>
                      <w:p w:rsidR="005E35B3" w:rsidRDefault="005E35B3">
                        <w:r>
                          <w:rPr>
                            <w:color w:val="1F497D"/>
                          </w:rPr>
                          <w:t> </w:t>
                        </w:r>
                      </w:p>
                      <w:p w:rsidR="005E35B3" w:rsidRDefault="005E35B3">
                        <w:r>
                          <w:rPr>
                            <w:rFonts w:ascii="Arial" w:hAnsi="Arial" w:cs="Arial"/>
                            <w:b/>
                            <w:bCs/>
                            <w:sz w:val="26"/>
                            <w:szCs w:val="26"/>
                          </w:rPr>
                          <w:t>Рынок облигаций</w:t>
                        </w:r>
                      </w:p>
                      <w:p w:rsidR="005E35B3" w:rsidRDefault="005E35B3">
                        <w:pPr>
                          <w:spacing w:after="240"/>
                        </w:pPr>
                        <w:r>
                          <w:rPr>
                            <w:rFonts w:ascii="Arial" w:hAnsi="Arial" w:cs="Arial"/>
                            <w:noProof/>
                            <w:sz w:val="26"/>
                            <w:szCs w:val="26"/>
                          </w:rPr>
                          <w:drawing>
                            <wp:inline distT="0" distB="0" distL="0" distR="0">
                              <wp:extent cx="1190625" cy="1190625"/>
                              <wp:effectExtent l="0" t="0" r="9525" b="9525"/>
                              <wp:docPr id="3" name="Рисунок 3"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7BFE.B94C54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5E35B3" w:rsidRDefault="005E35B3">
                        <w:r>
                          <w:rPr>
                            <w:rFonts w:ascii="Arial" w:hAnsi="Arial" w:cs="Arial"/>
                            <w:b/>
                            <w:bCs/>
                            <w:sz w:val="26"/>
                            <w:szCs w:val="26"/>
                          </w:rPr>
                          <w:t>Алексей Губин, </w:t>
                        </w:r>
                        <w:r>
                          <w:rPr>
                            <w:rFonts w:ascii="Arial" w:hAnsi="Arial" w:cs="Arial"/>
                            <w:b/>
                            <w:bCs/>
                            <w:sz w:val="26"/>
                            <w:szCs w:val="26"/>
                          </w:rPr>
                          <w:br/>
                        </w:r>
                        <w:r>
                          <w:rPr>
                            <w:rFonts w:ascii="Arial" w:hAnsi="Arial" w:cs="Arial"/>
                            <w:b/>
                            <w:bCs/>
                            <w:color w:val="FF0000"/>
                            <w:sz w:val="26"/>
                            <w:szCs w:val="26"/>
                          </w:rPr>
                          <w:t>аналитик УК «Альфа-Капитал»</w:t>
                        </w:r>
                      </w:p>
                      <w:p w:rsidR="005E35B3" w:rsidRDefault="005E35B3">
                        <w:pPr>
                          <w:pStyle w:val="a30"/>
                        </w:pPr>
                        <w:r>
                          <w:rPr>
                            <w:rFonts w:ascii="Arial" w:hAnsi="Arial" w:cs="Arial"/>
                            <w:color w:val="1F497D"/>
                            <w:sz w:val="22"/>
                            <w:szCs w:val="22"/>
                          </w:rPr>
                          <w:t> </w:t>
                        </w:r>
                      </w:p>
                      <w:p w:rsidR="005E35B3" w:rsidRDefault="005E35B3">
                        <w:pPr>
                          <w:pStyle w:val="a30"/>
                        </w:pPr>
                        <w:r>
                          <w:rPr>
                            <w:rFonts w:ascii="Arial" w:hAnsi="Arial" w:cs="Arial"/>
                            <w:sz w:val="22"/>
                            <w:szCs w:val="22"/>
                          </w:rPr>
                          <w:t xml:space="preserve">На прошлой неделе долговые рынки продемонстрировали отскок вверх на фоне стабилизации цен на нефть и российского рубля. Долларовый </w:t>
                        </w:r>
                        <w:proofErr w:type="spellStart"/>
                        <w:r>
                          <w:rPr>
                            <w:rFonts w:ascii="Arial" w:hAnsi="Arial" w:cs="Arial"/>
                            <w:sz w:val="22"/>
                            <w:szCs w:val="22"/>
                          </w:rPr>
                          <w:t>бенчмарк</w:t>
                        </w:r>
                        <w:proofErr w:type="spellEnd"/>
                        <w:r>
                          <w:rPr>
                            <w:rFonts w:ascii="Arial" w:hAnsi="Arial" w:cs="Arial"/>
                            <w:sz w:val="22"/>
                            <w:szCs w:val="22"/>
                          </w:rPr>
                          <w:t xml:space="preserve"> рынка РФ </w:t>
                        </w:r>
                        <w:r>
                          <w:rPr>
                            <w:rFonts w:ascii="Arial" w:hAnsi="Arial" w:cs="Arial"/>
                            <w:b/>
                            <w:bCs/>
                            <w:sz w:val="22"/>
                            <w:szCs w:val="22"/>
                            <w:lang w:val="en-US"/>
                          </w:rPr>
                          <w:t>Russia</w:t>
                        </w:r>
                        <w:r>
                          <w:rPr>
                            <w:rFonts w:ascii="Arial" w:hAnsi="Arial" w:cs="Arial"/>
                            <w:b/>
                            <w:bCs/>
                            <w:sz w:val="22"/>
                            <w:szCs w:val="22"/>
                          </w:rPr>
                          <w:t>-30</w:t>
                        </w:r>
                        <w:r>
                          <w:rPr>
                            <w:rFonts w:ascii="Arial" w:hAnsi="Arial" w:cs="Arial"/>
                            <w:sz w:val="22"/>
                            <w:szCs w:val="22"/>
                          </w:rPr>
                          <w:t xml:space="preserve"> после провального начала недели и обновления четырехлетних минимумов с ценой 98,50% закрывался по 103% от номинала, а рублевый </w:t>
                        </w:r>
                        <w:proofErr w:type="spellStart"/>
                        <w:r>
                          <w:rPr>
                            <w:rFonts w:ascii="Arial" w:hAnsi="Arial" w:cs="Arial"/>
                            <w:sz w:val="22"/>
                            <w:szCs w:val="22"/>
                          </w:rPr>
                          <w:t>бенчмарк</w:t>
                        </w:r>
                        <w:proofErr w:type="spellEnd"/>
                        <w:r>
                          <w:rPr>
                            <w:rFonts w:ascii="Arial" w:hAnsi="Arial" w:cs="Arial"/>
                            <w:sz w:val="22"/>
                            <w:szCs w:val="22"/>
                          </w:rPr>
                          <w:t xml:space="preserve"> </w:t>
                        </w:r>
                        <w:r>
                          <w:rPr>
                            <w:rFonts w:ascii="Arial" w:hAnsi="Arial" w:cs="Arial"/>
                            <w:b/>
                            <w:bCs/>
                            <w:sz w:val="22"/>
                            <w:szCs w:val="22"/>
                          </w:rPr>
                          <w:t>ОФЗ 26207</w:t>
                        </w:r>
                        <w:r>
                          <w:rPr>
                            <w:rFonts w:ascii="Arial" w:hAnsi="Arial" w:cs="Arial"/>
                            <w:sz w:val="22"/>
                            <w:szCs w:val="22"/>
                          </w:rPr>
                          <w:t xml:space="preserve"> вырос с 63,25% до почти 72% от номинала. При этом сегмент ОФЗ остается достаточно уязвимым, учитывая низкое значение цен на нефть и тот факт, что ключевая ставка, по всей видимости, останется высокой еще достаточно долго.</w:t>
                        </w:r>
                      </w:p>
                      <w:p w:rsidR="005E35B3" w:rsidRDefault="005E35B3">
                        <w:pPr>
                          <w:pStyle w:val="a30"/>
                        </w:pPr>
                        <w:r>
                          <w:rPr>
                            <w:rFonts w:ascii="Arial" w:hAnsi="Arial" w:cs="Arial"/>
                            <w:sz w:val="22"/>
                            <w:szCs w:val="22"/>
                          </w:rPr>
                          <w:t>На текущей неделе все внимание по-прежнему будет приковано к ситуации на юго-востоке Украины, где обстановка снова накалилась. На повестке дня остается возможность снижения российского рейтинга агентством S&amp;P до спекулятивного уровня. При этом данное решение, если оно будет принято, краткосрочно окажет негативный эффект на российский долговой рынок, но вместе с тем мы считаем, что после просадки на 2‒3% рынок, высоковероятно, начнет отскакивать, учитывая, что текущий уровень доходностей таков, как если бы российский рейтинг был в диапазоне В‒/В.</w:t>
                        </w:r>
                      </w:p>
                      <w:p w:rsidR="005E35B3" w:rsidRDefault="005E35B3">
                        <w:pPr>
                          <w:pStyle w:val="a30"/>
                        </w:pPr>
                        <w:r>
                          <w:rPr>
                            <w:rFonts w:ascii="Arial" w:hAnsi="Arial" w:cs="Arial"/>
                            <w:b/>
                            <w:bCs/>
                            <w:sz w:val="22"/>
                            <w:szCs w:val="22"/>
                          </w:rPr>
                          <w:t xml:space="preserve">Но хотя ситуация остается сложной, уровень доходности по 1‒3-летним долларовым российским инструментам выглядит более чем привлекательно, в 2‒3 раза превышая уровень ставок </w:t>
                        </w:r>
                        <w:proofErr w:type="gramStart"/>
                        <w:r>
                          <w:rPr>
                            <w:rFonts w:ascii="Arial" w:hAnsi="Arial" w:cs="Arial"/>
                            <w:b/>
                            <w:bCs/>
                            <w:sz w:val="22"/>
                            <w:szCs w:val="22"/>
                          </w:rPr>
                          <w:t>до долларовым депозитам</w:t>
                        </w:r>
                        <w:proofErr w:type="gramEnd"/>
                        <w:r>
                          <w:rPr>
                            <w:rFonts w:ascii="Arial" w:hAnsi="Arial" w:cs="Arial"/>
                            <w:b/>
                            <w:bCs/>
                            <w:sz w:val="22"/>
                            <w:szCs w:val="22"/>
                          </w:rPr>
                          <w:t xml:space="preserve"> в крупнейших российских банках. Поэтому мы рекомендуем пользоваться просадками, чтобы наращивать позиции в евробондах качественных российских эмитентов.</w:t>
                        </w:r>
                      </w:p>
                      <w:p w:rsidR="005E35B3" w:rsidRDefault="005E35B3">
                        <w:pPr>
                          <w:pStyle w:val="a30"/>
                        </w:pPr>
                        <w:r>
                          <w:rPr>
                            <w:rFonts w:ascii="Arial" w:hAnsi="Arial" w:cs="Arial"/>
                            <w:sz w:val="22"/>
                            <w:szCs w:val="22"/>
                          </w:rPr>
                          <w:t>Инфляция сейчас находится выше целевых ориентиров ЦБ и по совокупности причин в ближайшее время не замедлится. С другой стороны, последнее повышение ставок ЦБ до 17% не оставляет возможностей для существенного ужесточения денежно-кредитной политики при разумном уровне инфляции. Поэтому в рублевой части мы ставим на постепенную стабилизацию и снижение рыночной доходности инструментов с соответствующей положительной переоценкой бумаг вверх.</w:t>
                        </w:r>
                      </w:p>
                      <w:p w:rsidR="005E35B3" w:rsidRDefault="005E35B3">
                        <w:pPr>
                          <w:pStyle w:val="a30"/>
                        </w:pPr>
                        <w:r>
                          <w:rPr>
                            <w:rFonts w:ascii="Arial" w:hAnsi="Arial" w:cs="Arial"/>
                            <w:sz w:val="22"/>
                            <w:szCs w:val="22"/>
                          </w:rPr>
                          <w:t>Что касается валютных облигаций, то прошедший шторм очистил рынок от плечевых позиций, а также от инвесторов, не готовых терпеть переоценку портфеля. Как следствие, устойчивость рынка к негативным внешним шокам существенно выросла. Коррекции, конечно, еще будут, но при сопоставимых условиях они уже не будут такими глубокими, как та, что мы видели с начала декабря.</w:t>
                        </w:r>
                      </w:p>
                      <w:p w:rsidR="005E35B3" w:rsidRDefault="005E35B3">
                        <w:pPr>
                          <w:pStyle w:val="a30"/>
                        </w:pPr>
                        <w:r>
                          <w:rPr>
                            <w:rFonts w:ascii="Calibri" w:hAnsi="Calibri"/>
                            <w:color w:val="1F497D"/>
                            <w:sz w:val="22"/>
                            <w:szCs w:val="22"/>
                          </w:rPr>
                          <w:t> </w:t>
                        </w:r>
                      </w:p>
                      <w:p w:rsidR="005E35B3" w:rsidRDefault="005E35B3">
                        <w:pPr>
                          <w:pStyle w:val="a30"/>
                        </w:pPr>
                        <w:r>
                          <w:rPr>
                            <w:rFonts w:ascii="Arial" w:hAnsi="Arial" w:cs="Arial"/>
                            <w:sz w:val="20"/>
                            <w:szCs w:val="20"/>
                          </w:rPr>
                          <w:t> </w:t>
                        </w:r>
                      </w:p>
                      <w:p w:rsidR="005E35B3" w:rsidRDefault="005E35B3">
                        <w:r>
                          <w:rPr>
                            <w:rFonts w:ascii="Arial" w:hAnsi="Arial" w:cs="Arial"/>
                            <w:b/>
                            <w:bCs/>
                            <w:sz w:val="26"/>
                            <w:szCs w:val="26"/>
                          </w:rPr>
                          <w:t>Рынок сырьевых товаров</w:t>
                        </w:r>
                      </w:p>
                      <w:p w:rsidR="005E35B3" w:rsidRDefault="005E35B3">
                        <w:pPr>
                          <w:spacing w:after="240"/>
                        </w:pPr>
                        <w:r>
                          <w:rPr>
                            <w:rFonts w:ascii="Arial" w:hAnsi="Arial" w:cs="Arial"/>
                            <w:noProof/>
                            <w:sz w:val="26"/>
                            <w:szCs w:val="26"/>
                          </w:rPr>
                          <w:lastRenderedPageBreak/>
                          <w:drawing>
                            <wp:inline distT="0" distB="0" distL="0" distR="0">
                              <wp:extent cx="1123950" cy="1123950"/>
                              <wp:effectExtent l="0" t="0" r="0" b="0"/>
                              <wp:docPr id="2" name="Рисунок 2"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E7D8D.1A6B3F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5E35B3" w:rsidRDefault="005E35B3">
                        <w:r>
                          <w:rPr>
                            <w:rFonts w:ascii="Arial" w:hAnsi="Arial" w:cs="Arial"/>
                            <w:b/>
                            <w:bCs/>
                            <w:color w:val="1F497D"/>
                            <w:sz w:val="26"/>
                            <w:szCs w:val="26"/>
                          </w:rPr>
                          <w:t> </w:t>
                        </w:r>
                      </w:p>
                      <w:p w:rsidR="005E35B3" w:rsidRDefault="005E35B3">
                        <w:r>
                          <w:rPr>
                            <w:rFonts w:ascii="Calibri" w:hAnsi="Calibri"/>
                            <w:b/>
                            <w:bCs/>
                            <w:color w:val="1F497D"/>
                            <w:sz w:val="22"/>
                            <w:szCs w:val="22"/>
                          </w:rPr>
                          <w:t> </w:t>
                        </w:r>
                      </w:p>
                      <w:p w:rsidR="005E35B3" w:rsidRDefault="005E35B3">
                        <w:r>
                          <w:rPr>
                            <w:rFonts w:ascii="Arial" w:hAnsi="Arial" w:cs="Arial"/>
                            <w:b/>
                            <w:bCs/>
                            <w:sz w:val="26"/>
                            <w:szCs w:val="26"/>
                          </w:rPr>
                          <w:t xml:space="preserve">Владимир </w:t>
                        </w:r>
                        <w:proofErr w:type="gramStart"/>
                        <w:r>
                          <w:rPr>
                            <w:rFonts w:ascii="Arial" w:hAnsi="Arial" w:cs="Arial"/>
                            <w:b/>
                            <w:bCs/>
                            <w:sz w:val="26"/>
                            <w:szCs w:val="26"/>
                          </w:rPr>
                          <w:t>Брагин,</w:t>
                        </w:r>
                        <w:r>
                          <w:rPr>
                            <w:rFonts w:ascii="Arial" w:hAnsi="Arial" w:cs="Arial"/>
                            <w:b/>
                            <w:bCs/>
                            <w:sz w:val="26"/>
                            <w:szCs w:val="26"/>
                          </w:rPr>
                          <w:br/>
                        </w:r>
                        <w:r>
                          <w:rPr>
                            <w:rFonts w:ascii="Arial" w:hAnsi="Arial" w:cs="Arial"/>
                            <w:b/>
                            <w:bCs/>
                            <w:color w:val="FF0000"/>
                            <w:sz w:val="26"/>
                            <w:szCs w:val="26"/>
                          </w:rPr>
                          <w:t>директор</w:t>
                        </w:r>
                        <w:proofErr w:type="gramEnd"/>
                        <w:r>
                          <w:rPr>
                            <w:rFonts w:ascii="Arial" w:hAnsi="Arial" w:cs="Arial"/>
                            <w:b/>
                            <w:bCs/>
                            <w:color w:val="FF0000"/>
                            <w:sz w:val="26"/>
                            <w:szCs w:val="26"/>
                          </w:rPr>
                          <w:t xml:space="preserve"> по анализу финансовых рынков</w:t>
                        </w:r>
                        <w:r>
                          <w:rPr>
                            <w:rFonts w:ascii="Arial" w:hAnsi="Arial" w:cs="Arial"/>
                            <w:b/>
                            <w:bCs/>
                            <w:color w:val="FF0000"/>
                            <w:sz w:val="26"/>
                            <w:szCs w:val="26"/>
                          </w:rPr>
                          <w:br/>
                          <w:t>и макроэкономики УК «Альфа-Капитал»</w:t>
                        </w:r>
                      </w:p>
                      <w:p w:rsidR="005E35B3" w:rsidRDefault="005E35B3">
                        <w:pPr>
                          <w:pStyle w:val="a30"/>
                        </w:pPr>
                        <w:r>
                          <w:rPr>
                            <w:rFonts w:ascii="Arial" w:hAnsi="Arial" w:cs="Arial"/>
                            <w:sz w:val="22"/>
                            <w:szCs w:val="22"/>
                          </w:rPr>
                          <w:t> </w:t>
                        </w:r>
                      </w:p>
                      <w:p w:rsidR="005E35B3" w:rsidRDefault="005E35B3">
                        <w:pPr>
                          <w:pStyle w:val="a30"/>
                          <w:spacing w:after="120"/>
                        </w:pPr>
                        <w:proofErr w:type="spellStart"/>
                        <w:r>
                          <w:rPr>
                            <w:rFonts w:ascii="Arial" w:hAnsi="Arial" w:cs="Arial"/>
                            <w:sz w:val="24"/>
                            <w:szCs w:val="24"/>
                          </w:rPr>
                          <w:t>Отрисовав</w:t>
                        </w:r>
                        <w:proofErr w:type="spellEnd"/>
                        <w:r>
                          <w:rPr>
                            <w:rFonts w:ascii="Arial" w:hAnsi="Arial" w:cs="Arial"/>
                            <w:sz w:val="24"/>
                            <w:szCs w:val="24"/>
                          </w:rPr>
                          <w:t xml:space="preserve"> минимум, нефть отскочила до 50 долл. за баррель. Драйвером к отскоку нефти были новости из США, согласно которым отмечается снижение буровой активности, уменьшение числа буровых установок. Кроме того, первые новости о корпоративных дефолтах в нефтегазовом секторе добавляют некоторый позитив. В целом негатив на рынке нефти преобладает, многие </w:t>
                        </w:r>
                        <w:proofErr w:type="spellStart"/>
                        <w:r>
                          <w:rPr>
                            <w:rFonts w:ascii="Arial" w:hAnsi="Arial" w:cs="Arial"/>
                            <w:sz w:val="24"/>
                            <w:szCs w:val="24"/>
                          </w:rPr>
                          <w:t>инвестдома</w:t>
                        </w:r>
                        <w:proofErr w:type="spellEnd"/>
                        <w:r>
                          <w:rPr>
                            <w:rFonts w:ascii="Arial" w:hAnsi="Arial" w:cs="Arial"/>
                            <w:sz w:val="24"/>
                            <w:szCs w:val="24"/>
                          </w:rPr>
                          <w:t xml:space="preserve"> ожидают снижения до 35‒40 долл. за баррель.</w:t>
                        </w:r>
                      </w:p>
                      <w:p w:rsidR="005E35B3" w:rsidRDefault="005E35B3">
                        <w:pPr>
                          <w:pStyle w:val="a30"/>
                          <w:spacing w:after="120"/>
                        </w:pPr>
                        <w:r>
                          <w:rPr>
                            <w:rFonts w:ascii="Arial" w:hAnsi="Arial" w:cs="Arial"/>
                            <w:sz w:val="24"/>
                            <w:szCs w:val="24"/>
                          </w:rPr>
                          <w:t xml:space="preserve">Промышленные металлы вслед за нефтью продолжают снижаться, предпосылкой к этому является замедление глобальной экономики и снижение издержек на энергоресурсы. </w:t>
                        </w:r>
                        <w:r>
                          <w:rPr>
                            <w:rFonts w:ascii="Arial" w:hAnsi="Arial" w:cs="Arial"/>
                            <w:sz w:val="24"/>
                            <w:szCs w:val="24"/>
                          </w:rPr>
                          <w:br/>
                          <w:t>К примеру, снижение цены нефти на 50% непосредственно из-за снижения прямых издержек приводит к снижению цены меди на 5%. И в других металлах ситуация аналогичная.</w:t>
                        </w:r>
                      </w:p>
                      <w:p w:rsidR="005E35B3" w:rsidRDefault="005E35B3">
                        <w:pPr>
                          <w:pStyle w:val="a50"/>
                          <w:spacing w:after="120"/>
                          <w:jc w:val="both"/>
                        </w:pPr>
                        <w:r>
                          <w:rPr>
                            <w:b w:val="0"/>
                            <w:bCs w:val="0"/>
                            <w:color w:val="auto"/>
                            <w:sz w:val="24"/>
                            <w:szCs w:val="24"/>
                          </w:rPr>
                          <w:t>Драгоценные металлы показали рост, толчком к чему было решение Швейцарского национального банка снизить ставку до ‒0,25% и отказаться от защиты франка от укрепления к евро на границе 1,2 франка за евро. Отказ от защиты этого уровня привел к невиданной волатильности курса франка, спровоцировав стандартную для таких случаев реакцию рынка – рост котировок драгоценных металлов (как и падение доходностей казначейских облигаций). Котировки золота и серебра выросли на 4,7% и 7,8% соответственно.</w:t>
                        </w:r>
                      </w:p>
                      <w:p w:rsidR="005E35B3" w:rsidRDefault="005E35B3">
                        <w:pPr>
                          <w:pStyle w:val="a50"/>
                          <w:spacing w:after="120"/>
                          <w:jc w:val="both"/>
                        </w:pPr>
                        <w:r>
                          <w:rPr>
                            <w:rFonts w:ascii="Calibri" w:hAnsi="Calibri"/>
                            <w:color w:val="1F497D"/>
                            <w:sz w:val="22"/>
                            <w:szCs w:val="22"/>
                          </w:rPr>
                          <w:t> </w:t>
                        </w:r>
                      </w:p>
                      <w:p w:rsidR="005E35B3" w:rsidRDefault="005E35B3">
                        <w:r>
                          <w:rPr>
                            <w:rFonts w:ascii="Arial" w:hAnsi="Arial" w:cs="Arial"/>
                            <w:sz w:val="22"/>
                            <w:szCs w:val="22"/>
                          </w:rPr>
                          <w:t>*</w:t>
                        </w:r>
                        <w:r>
                          <w:rPr>
                            <w:rFonts w:ascii="Arial" w:hAnsi="Arial" w:cs="Arial"/>
                            <w:i/>
                            <w:iCs/>
                            <w:sz w:val="22"/>
                            <w:szCs w:val="22"/>
                          </w:rPr>
                          <w:t xml:space="preserve">Если Вам не интересна рассылка, есть пожелания по ее содержанию или Вы знаете тех, кому она могла бы также быть полезной, пожалуйста, сообщите Ирине </w:t>
                        </w:r>
                        <w:proofErr w:type="spellStart"/>
                        <w:r>
                          <w:rPr>
                            <w:rFonts w:ascii="Arial" w:hAnsi="Arial" w:cs="Arial"/>
                            <w:i/>
                            <w:iCs/>
                            <w:sz w:val="22"/>
                            <w:szCs w:val="22"/>
                          </w:rPr>
                          <w:t>Балалуевой</w:t>
                        </w:r>
                        <w:proofErr w:type="spellEnd"/>
                        <w:r>
                          <w:rPr>
                            <w:rFonts w:ascii="Arial" w:hAnsi="Arial" w:cs="Arial"/>
                            <w:i/>
                            <w:iCs/>
                            <w:sz w:val="22"/>
                            <w:szCs w:val="22"/>
                          </w:rPr>
                          <w:t xml:space="preserve"> на </w:t>
                        </w:r>
                        <w:hyperlink r:id="rId12" w:history="1">
                          <w:r>
                            <w:rPr>
                              <w:rStyle w:val="a4"/>
                              <w:rFonts w:ascii="Arial" w:hAnsi="Arial" w:cs="Arial"/>
                              <w:i/>
                              <w:iCs/>
                              <w:sz w:val="22"/>
                              <w:szCs w:val="22"/>
                              <w:lang w:val="en-US"/>
                            </w:rPr>
                            <w:t>i</w:t>
                          </w:r>
                          <w:r>
                            <w:rPr>
                              <w:rStyle w:val="a4"/>
                              <w:rFonts w:ascii="Arial" w:hAnsi="Arial" w:cs="Arial"/>
                              <w:i/>
                              <w:iCs/>
                              <w:sz w:val="22"/>
                              <w:szCs w:val="22"/>
                            </w:rPr>
                            <w:t>.</w:t>
                          </w:r>
                          <w:r>
                            <w:rPr>
                              <w:rStyle w:val="a4"/>
                              <w:rFonts w:ascii="Arial" w:hAnsi="Arial" w:cs="Arial"/>
                              <w:i/>
                              <w:iCs/>
                              <w:sz w:val="22"/>
                              <w:szCs w:val="22"/>
                              <w:lang w:val="en-US"/>
                            </w:rPr>
                            <w:t>balalueva</w:t>
                          </w:r>
                          <w:r>
                            <w:rPr>
                              <w:rStyle w:val="a4"/>
                              <w:rFonts w:ascii="Arial" w:hAnsi="Arial" w:cs="Arial"/>
                              <w:i/>
                              <w:iCs/>
                              <w:sz w:val="22"/>
                              <w:szCs w:val="22"/>
                            </w:rPr>
                            <w:t>@</w:t>
                          </w:r>
                          <w:r>
                            <w:rPr>
                              <w:rStyle w:val="a4"/>
                              <w:rFonts w:ascii="Arial" w:hAnsi="Arial" w:cs="Arial"/>
                              <w:i/>
                              <w:iCs/>
                              <w:sz w:val="22"/>
                              <w:szCs w:val="22"/>
                              <w:lang w:val="en-US"/>
                            </w:rPr>
                            <w:t>alfacapital</w:t>
                          </w:r>
                          <w:r>
                            <w:rPr>
                              <w:rStyle w:val="a4"/>
                              <w:rFonts w:ascii="Arial" w:hAnsi="Arial" w:cs="Arial"/>
                              <w:i/>
                              <w:iCs/>
                              <w:sz w:val="22"/>
                              <w:szCs w:val="22"/>
                            </w:rPr>
                            <w:t>.</w:t>
                          </w:r>
                          <w:proofErr w:type="spellStart"/>
                          <w:r>
                            <w:rPr>
                              <w:rStyle w:val="a4"/>
                              <w:rFonts w:ascii="Arial" w:hAnsi="Arial" w:cs="Arial"/>
                              <w:i/>
                              <w:iCs/>
                              <w:sz w:val="22"/>
                              <w:szCs w:val="22"/>
                              <w:lang w:val="en-US"/>
                            </w:rPr>
                            <w:t>ru</w:t>
                          </w:r>
                          <w:proofErr w:type="spellEnd"/>
                        </w:hyperlink>
                        <w:r>
                          <w:rPr>
                            <w:rFonts w:ascii="Arial" w:hAnsi="Arial" w:cs="Arial"/>
                            <w:i/>
                            <w:iCs/>
                            <w:sz w:val="22"/>
                            <w:szCs w:val="22"/>
                          </w:rPr>
                          <w:t xml:space="preserve">. </w:t>
                        </w:r>
                      </w:p>
                      <w:p w:rsidR="005E35B3" w:rsidRDefault="005E35B3">
                        <w:r>
                          <w:rPr>
                            <w:rFonts w:ascii="Arial" w:hAnsi="Arial" w:cs="Arial"/>
                            <w:i/>
                            <w:iCs/>
                            <w:sz w:val="22"/>
                            <w:szCs w:val="22"/>
                          </w:rPr>
                          <w:t>Остаемся на связи!</w:t>
                        </w:r>
                      </w:p>
                      <w:p w:rsidR="005E35B3" w:rsidRDefault="005E35B3">
                        <w:pPr>
                          <w:jc w:val="right"/>
                        </w:pPr>
                        <w:r>
                          <w:rPr>
                            <w:rFonts w:ascii="Arial" w:hAnsi="Arial" w:cs="Arial"/>
                            <w:i/>
                            <w:iCs/>
                            <w:sz w:val="22"/>
                            <w:szCs w:val="22"/>
                          </w:rPr>
                          <w:t>С уважением,</w:t>
                        </w:r>
                      </w:p>
                      <w:p w:rsidR="005E35B3" w:rsidRDefault="005E35B3">
                        <w:pPr>
                          <w:jc w:val="right"/>
                        </w:pPr>
                        <w:r>
                          <w:rPr>
                            <w:rFonts w:ascii="Arial" w:hAnsi="Arial" w:cs="Arial"/>
                            <w:i/>
                            <w:iCs/>
                            <w:sz w:val="22"/>
                            <w:szCs w:val="22"/>
                          </w:rPr>
                          <w:t>пресс-служба УК «Альфа-Капитал».</w:t>
                        </w:r>
                      </w:p>
                    </w:tc>
                    <w:tc>
                      <w:tcPr>
                        <w:tcW w:w="600" w:type="dxa"/>
                        <w:vAlign w:val="center"/>
                        <w:hideMark/>
                      </w:tcPr>
                      <w:p w:rsidR="005E35B3" w:rsidRDefault="005E35B3">
                        <w:r>
                          <w:rPr>
                            <w:rFonts w:ascii="Arial" w:hAnsi="Arial" w:cs="Arial"/>
                            <w:sz w:val="26"/>
                            <w:szCs w:val="26"/>
                          </w:rPr>
                          <w:lastRenderedPageBreak/>
                          <w:t> </w:t>
                        </w:r>
                      </w:p>
                    </w:tc>
                  </w:tr>
                </w:tbl>
                <w:p w:rsidR="005E35B3" w:rsidRDefault="005E35B3">
                  <w:pPr>
                    <w:rPr>
                      <w:rFonts w:eastAsia="Times New Roman"/>
                      <w:sz w:val="20"/>
                      <w:szCs w:val="20"/>
                    </w:rPr>
                  </w:pPr>
                </w:p>
              </w:tc>
              <w:tc>
                <w:tcPr>
                  <w:tcW w:w="6" w:type="dxa"/>
                  <w:vAlign w:val="center"/>
                  <w:hideMark/>
                </w:tcPr>
                <w:p w:rsidR="005E35B3" w:rsidRDefault="005E35B3">
                  <w:pPr>
                    <w:rPr>
                      <w:rFonts w:eastAsia="Times New Roman"/>
                      <w:sz w:val="20"/>
                      <w:szCs w:val="20"/>
                    </w:rPr>
                  </w:pPr>
                </w:p>
              </w:tc>
            </w:tr>
          </w:tbl>
          <w:p w:rsidR="005E35B3" w:rsidRDefault="005E35B3">
            <w:r>
              <w:rPr>
                <w:rFonts w:ascii="Arial" w:hAnsi="Arial" w:cs="Arial"/>
                <w:noProof/>
                <w:sz w:val="26"/>
                <w:szCs w:val="26"/>
              </w:rPr>
              <w:lastRenderedPageBreak/>
              <w:drawing>
                <wp:inline distT="0" distB="0" distL="0" distR="0">
                  <wp:extent cx="6667500" cy="762000"/>
                  <wp:effectExtent l="0" t="0" r="0" b="0"/>
                  <wp:docPr id="1" name="Рисунок 1" descr="cid:image004.gif@01CF1B7C.B25E1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gif@01CF1B7C.B25E1A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67500" cy="762000"/>
                          </a:xfrm>
                          <a:prstGeom prst="rect">
                            <a:avLst/>
                          </a:prstGeom>
                          <a:noFill/>
                          <a:ln>
                            <a:noFill/>
                          </a:ln>
                        </pic:spPr>
                      </pic:pic>
                    </a:graphicData>
                  </a:graphic>
                </wp:inline>
              </w:drawing>
            </w:r>
          </w:p>
        </w:tc>
      </w:tr>
      <w:tr w:rsidR="005E35B3" w:rsidTr="005E35B3">
        <w:trPr>
          <w:trHeight w:val="150"/>
          <w:tblCellSpacing w:w="0" w:type="dxa"/>
        </w:trPr>
        <w:tc>
          <w:tcPr>
            <w:tcW w:w="0" w:type="auto"/>
            <w:vAlign w:val="center"/>
            <w:hideMark/>
          </w:tcPr>
          <w:p w:rsidR="005E35B3" w:rsidRDefault="005E35B3"/>
        </w:tc>
      </w:tr>
    </w:tbl>
    <w:p w:rsidR="002E6479" w:rsidRDefault="002E6479" w:rsidP="005411DF">
      <w:pPr>
        <w:jc w:val="both"/>
      </w:pPr>
      <w:bookmarkStart w:id="0" w:name="_GoBack"/>
      <w:bookmarkEnd w:id="0"/>
    </w:p>
    <w:p w:rsidR="002E6479" w:rsidRDefault="002E6479" w:rsidP="005411DF">
      <w:pPr>
        <w:jc w:val="both"/>
      </w:pPr>
    </w:p>
    <w:p w:rsidR="002E6479" w:rsidRDefault="002E6479" w:rsidP="005411DF">
      <w:pPr>
        <w:jc w:val="both"/>
      </w:pPr>
    </w:p>
    <w:p w:rsidR="00835EB6" w:rsidRDefault="00835EB6" w:rsidP="005411DF">
      <w:pPr>
        <w:jc w:val="both"/>
      </w:pPr>
    </w:p>
    <w:sectPr w:rsidR="00835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DF"/>
    <w:rsid w:val="00015C97"/>
    <w:rsid w:val="00190A37"/>
    <w:rsid w:val="002E6479"/>
    <w:rsid w:val="002F7D58"/>
    <w:rsid w:val="00381635"/>
    <w:rsid w:val="00393004"/>
    <w:rsid w:val="00465336"/>
    <w:rsid w:val="0048446F"/>
    <w:rsid w:val="005411DF"/>
    <w:rsid w:val="00573A93"/>
    <w:rsid w:val="005A4E4B"/>
    <w:rsid w:val="005E35B3"/>
    <w:rsid w:val="007371EB"/>
    <w:rsid w:val="007444EE"/>
    <w:rsid w:val="00835EB6"/>
    <w:rsid w:val="009704A3"/>
    <w:rsid w:val="00A35EC5"/>
    <w:rsid w:val="00AF198C"/>
    <w:rsid w:val="00C106FB"/>
    <w:rsid w:val="00C17974"/>
    <w:rsid w:val="00D63E42"/>
    <w:rsid w:val="00FC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D92A1-A534-4291-8C9A-7807E384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E42"/>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1DF"/>
    <w:pPr>
      <w:spacing w:before="100" w:beforeAutospacing="1" w:after="100" w:afterAutospacing="1"/>
    </w:pPr>
  </w:style>
  <w:style w:type="character" w:styleId="a4">
    <w:name w:val="Hyperlink"/>
    <w:basedOn w:val="a0"/>
    <w:uiPriority w:val="99"/>
    <w:unhideWhenUsed/>
    <w:rsid w:val="00190A37"/>
    <w:rPr>
      <w:color w:val="0563C1" w:themeColor="hyperlink"/>
      <w:u w:val="single"/>
    </w:rPr>
  </w:style>
  <w:style w:type="paragraph" w:styleId="a5">
    <w:name w:val="Plain Text"/>
    <w:basedOn w:val="a"/>
    <w:link w:val="a6"/>
    <w:uiPriority w:val="99"/>
    <w:unhideWhenUsed/>
    <w:rsid w:val="00AF198C"/>
    <w:rPr>
      <w:rFonts w:ascii="Calibri" w:hAnsi="Calibri" w:cstheme="minorBidi"/>
      <w:sz w:val="22"/>
      <w:szCs w:val="21"/>
      <w:lang w:eastAsia="en-US"/>
    </w:rPr>
  </w:style>
  <w:style w:type="character" w:customStyle="1" w:styleId="a6">
    <w:name w:val="Текст Знак"/>
    <w:basedOn w:val="a0"/>
    <w:link w:val="a5"/>
    <w:uiPriority w:val="99"/>
    <w:rsid w:val="00AF198C"/>
    <w:rPr>
      <w:rFonts w:ascii="Calibri" w:hAnsi="Calibri"/>
      <w:szCs w:val="21"/>
    </w:rPr>
  </w:style>
  <w:style w:type="paragraph" w:customStyle="1" w:styleId="a30">
    <w:name w:val="a3"/>
    <w:basedOn w:val="a"/>
    <w:rsid w:val="005E35B3"/>
    <w:pPr>
      <w:spacing w:before="80"/>
      <w:jc w:val="both"/>
    </w:pPr>
    <w:rPr>
      <w:rFonts w:ascii="Arial Narrow" w:hAnsi="Arial Narrow"/>
      <w:sz w:val="16"/>
      <w:szCs w:val="16"/>
    </w:rPr>
  </w:style>
  <w:style w:type="paragraph" w:customStyle="1" w:styleId="a50">
    <w:name w:val="a5"/>
    <w:basedOn w:val="a"/>
    <w:rsid w:val="005E35B3"/>
    <w:rPr>
      <w:rFonts w:ascii="Arial" w:hAnsi="Arial" w:cs="Arial"/>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51400">
      <w:bodyDiv w:val="1"/>
      <w:marLeft w:val="0"/>
      <w:marRight w:val="0"/>
      <w:marTop w:val="0"/>
      <w:marBottom w:val="0"/>
      <w:divBdr>
        <w:top w:val="none" w:sz="0" w:space="0" w:color="auto"/>
        <w:left w:val="none" w:sz="0" w:space="0" w:color="auto"/>
        <w:bottom w:val="none" w:sz="0" w:space="0" w:color="auto"/>
        <w:right w:val="none" w:sz="0" w:space="0" w:color="auto"/>
      </w:divBdr>
    </w:div>
    <w:div w:id="656885504">
      <w:bodyDiv w:val="1"/>
      <w:marLeft w:val="0"/>
      <w:marRight w:val="0"/>
      <w:marTop w:val="0"/>
      <w:marBottom w:val="0"/>
      <w:divBdr>
        <w:top w:val="none" w:sz="0" w:space="0" w:color="auto"/>
        <w:left w:val="none" w:sz="0" w:space="0" w:color="auto"/>
        <w:bottom w:val="none" w:sz="0" w:space="0" w:color="auto"/>
        <w:right w:val="none" w:sz="0" w:space="0" w:color="auto"/>
      </w:divBdr>
    </w:div>
    <w:div w:id="699673012">
      <w:bodyDiv w:val="1"/>
      <w:marLeft w:val="0"/>
      <w:marRight w:val="0"/>
      <w:marTop w:val="0"/>
      <w:marBottom w:val="0"/>
      <w:divBdr>
        <w:top w:val="none" w:sz="0" w:space="0" w:color="auto"/>
        <w:left w:val="none" w:sz="0" w:space="0" w:color="auto"/>
        <w:bottom w:val="none" w:sz="0" w:space="0" w:color="auto"/>
        <w:right w:val="none" w:sz="0" w:space="0" w:color="auto"/>
      </w:divBdr>
    </w:div>
    <w:div w:id="900678516">
      <w:bodyDiv w:val="1"/>
      <w:marLeft w:val="0"/>
      <w:marRight w:val="0"/>
      <w:marTop w:val="0"/>
      <w:marBottom w:val="0"/>
      <w:divBdr>
        <w:top w:val="none" w:sz="0" w:space="0" w:color="auto"/>
        <w:left w:val="none" w:sz="0" w:space="0" w:color="auto"/>
        <w:bottom w:val="none" w:sz="0" w:space="0" w:color="auto"/>
        <w:right w:val="none" w:sz="0" w:space="0" w:color="auto"/>
      </w:divBdr>
    </w:div>
    <w:div w:id="1396471443">
      <w:bodyDiv w:val="1"/>
      <w:marLeft w:val="0"/>
      <w:marRight w:val="0"/>
      <w:marTop w:val="0"/>
      <w:marBottom w:val="0"/>
      <w:divBdr>
        <w:top w:val="none" w:sz="0" w:space="0" w:color="auto"/>
        <w:left w:val="none" w:sz="0" w:space="0" w:color="auto"/>
        <w:bottom w:val="none" w:sz="0" w:space="0" w:color="auto"/>
        <w:right w:val="none" w:sz="0" w:space="0" w:color="auto"/>
      </w:divBdr>
    </w:div>
    <w:div w:id="1478185986">
      <w:bodyDiv w:val="1"/>
      <w:marLeft w:val="0"/>
      <w:marRight w:val="0"/>
      <w:marTop w:val="0"/>
      <w:marBottom w:val="0"/>
      <w:divBdr>
        <w:top w:val="none" w:sz="0" w:space="0" w:color="auto"/>
        <w:left w:val="none" w:sz="0" w:space="0" w:color="auto"/>
        <w:bottom w:val="none" w:sz="0" w:space="0" w:color="auto"/>
        <w:right w:val="none" w:sz="0" w:space="0" w:color="auto"/>
      </w:divBdr>
    </w:div>
    <w:div w:id="1625845167">
      <w:bodyDiv w:val="1"/>
      <w:marLeft w:val="0"/>
      <w:marRight w:val="0"/>
      <w:marTop w:val="0"/>
      <w:marBottom w:val="0"/>
      <w:divBdr>
        <w:top w:val="none" w:sz="0" w:space="0" w:color="auto"/>
        <w:left w:val="none" w:sz="0" w:space="0" w:color="auto"/>
        <w:bottom w:val="none" w:sz="0" w:space="0" w:color="auto"/>
        <w:right w:val="none" w:sz="0" w:space="0" w:color="auto"/>
      </w:divBdr>
    </w:div>
    <w:div w:id="2046561844">
      <w:bodyDiv w:val="1"/>
      <w:marLeft w:val="0"/>
      <w:marRight w:val="0"/>
      <w:marTop w:val="0"/>
      <w:marBottom w:val="0"/>
      <w:divBdr>
        <w:top w:val="none" w:sz="0" w:space="0" w:color="auto"/>
        <w:left w:val="none" w:sz="0" w:space="0" w:color="auto"/>
        <w:bottom w:val="none" w:sz="0" w:space="0" w:color="auto"/>
        <w:right w:val="none" w:sz="0" w:space="0" w:color="auto"/>
      </w:divBdr>
    </w:div>
    <w:div w:id="214245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cid:image002.jpg@01D0340E.9DDC9590" TargetMode="External"/><Relationship Id="rId12" Type="http://schemas.openxmlformats.org/officeDocument/2006/relationships/hyperlink" Target="mailto:i.balalueva@alfacapital.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jpg@01D0340E.9DDC9590" TargetMode="External"/><Relationship Id="rId5" Type="http://schemas.openxmlformats.org/officeDocument/2006/relationships/image" Target="cid:image001.jpg@01D0340E.9DDC9590"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3.jpg@01D0340E.9DDC9590" TargetMode="External"/><Relationship Id="rId14" Type="http://schemas.openxmlformats.org/officeDocument/2006/relationships/image" Target="cid:image005.gif@01D0340E.9DDC9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3</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Кириллова Ольга Олеговна</dc:creator>
  <cp:keywords/>
  <dc:description/>
  <cp:lastModifiedBy>Кириллова Ольга Олеговна</cp:lastModifiedBy>
  <cp:revision>1</cp:revision>
  <dcterms:created xsi:type="dcterms:W3CDTF">2015-01-19T07:20:00Z</dcterms:created>
  <dcterms:modified xsi:type="dcterms:W3CDTF">2015-01-19T14:48:00Z</dcterms:modified>
</cp:coreProperties>
</file>