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97" w:rsidRDefault="004D2497" w:rsidP="004D2497"/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60"/>
        <w:gridCol w:w="6"/>
      </w:tblGrid>
      <w:tr w:rsidR="004D2497" w:rsidTr="004D2497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497" w:rsidRDefault="004D249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60"/>
            </w:tblGrid>
            <w:tr w:rsidR="004D24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2497" w:rsidRDefault="004D249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6677025" cy="2447925"/>
                        <wp:effectExtent l="19050" t="0" r="9525" b="0"/>
                        <wp:docPr id="1" name="Рисунок 1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2497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0"/>
                    <w:gridCol w:w="10144"/>
                    <w:gridCol w:w="6"/>
                  </w:tblGrid>
                  <w:tr w:rsidR="004D2497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4D2497" w:rsidRDefault="004D249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4D2497" w:rsidRDefault="004D249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4D2497" w:rsidRDefault="004D249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4D2497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4D2497" w:rsidRDefault="004D249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4D2497" w:rsidRDefault="004D249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4D2497" w:rsidRDefault="004D249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4D2497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4D2497" w:rsidRDefault="004D249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4D2497" w:rsidRDefault="004D2497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544"/>
                          <w:gridCol w:w="600"/>
                        </w:tblGrid>
                        <w:tr w:rsidR="004D249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4D2497" w:rsidRDefault="004D2497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4D2497" w:rsidRDefault="004D2497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4D2497" w:rsidRDefault="004D2497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D2497" w:rsidRDefault="004D249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4D2497" w:rsidRDefault="004D2497"/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Возросшая на прошлой неделе активность «быков» на российском рынке позволила выдернуть индексы ММВБ и РТС вверх более чем на 5%. Возвращение к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деэскалационной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риторике дало рынкам новый импульс, но неопределенность сохраняется, а драйверами рынка, как и прежде, остаются новостные заголовки. Другая наша ставка – американские акции – также оправдала наши ожидания: S&amp;P 500 вырос на 1,22%,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высокотехнологичный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NASDAQ прибавил 2,56%. 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На западных площадках на неделе в центре внимания будет статистика. В США выйдут июльские данные с рынка недвижимости, а также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июльский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CPI. В еврозоне – предварительный августовский PMI в промышленном секторе и сфере услуг, июньский торговый баланс и индекс потребительского доверия за август. По нашим оценкам, развитые рынки акций по-прежнему сохраняют потенциал роста, но в ближайшие две недели, вероятнее всего, будет наблюдаться снижение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волатильности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в связи с сезонным фактором. В то же время взбодрить американский рынок могут новости из Ирака, которым сейчас уделяется пристальное внимание. 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Стоит обратить внимание на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предварительный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августовский HSBC PMI Китая. В случае если позитивный тренд сохранится пятый месяц подряд, это может подтолкнуть вверх цены на сырьевые товары, улучшив привлекательность российских компаний, работающих в добывающем секторе и секторе черной металлургии. Правда, другие данные по этой стране пока не особо радуют, особенно динамика прямых иностранных инвестиций, а также объем выданных кредитов (оба показателя резко сократились в июне). Если это не статистический выброс, то это может оказаться первым сигналом нарастания серьезных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lastRenderedPageBreak/>
                                <w:t>проблем в финансовом секторе.</w:t>
                              </w:r>
                            </w:p>
                            <w:p w:rsidR="004D2497" w:rsidRDefault="004D2497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  <w:t> </w:t>
                              </w:r>
                            </w:p>
                            <w:p w:rsidR="004D2497" w:rsidRDefault="004D2497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4D2497" w:rsidRDefault="004D249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4D2497" w:rsidRDefault="004D2497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D2497" w:rsidRDefault="004D249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4D2497" w:rsidRDefault="004D2497"/>
                            <w:p w:rsidR="004D2497" w:rsidRDefault="004D2497">
                              <w:pPr>
                                <w:pStyle w:val="a8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Рублевые облигации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На прошлой неделе рынок рублевого долга показывал исключительно положительную динамику. Вначале участники рынка жили в ожидании заседания депутатов Государственной думы в Крыму под председательством президента РФ. Ожидания были благоприятными, и инвесторы предпочитали покупать. В результате доходность длинных госбумаг, в частности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ОФЗ 26207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, снизилась почти на 0,5%. 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В четверг, 14 августа, состоялось ожидаемое всеми заседание, но оно прошло в закрытой форме и не ознаменовалось судьбоносными заявлениями. Поэтому остаток недели рынок провел без серьезных движений. Новости (впоследствии не подтвердившиеся) о входе российской военной колонны не сыграли существенной роли, так как вышли уже после закрытия российского рынка. 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Ликвидность рублевых бондов остается низкой, и в среднесрочной перспективе мы пока не видим условий для ее восстановления. Более или менее ликвидными по-прежнему являются только суверенные бумаги и ряд выпусков «первого эшелона». </w:t>
                              </w:r>
                            </w:p>
                            <w:p w:rsidR="004D2497" w:rsidRDefault="004D2497">
                              <w:pPr>
                                <w:pStyle w:val="a8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D2497" w:rsidRDefault="004D2497">
                              <w:pPr>
                                <w:pStyle w:val="a8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Еврооблигации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На прошлой неделе российские еврооблигации показывали положительную динамику.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Суверенный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бенчмарк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Russia-30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вырос на 3,5% по цене. В отличие от рублевых облигаций новость о входе на Украину российской военной колонны успела провалить котировки той же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n-US"/>
                                </w:rPr>
                                <w:t>Russia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30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ниже 113% от номинала (снижение на 1,0–1,5%). Однако уже утром в понедельник котировки восстановились, а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n-US"/>
                                </w:rPr>
                                <w:t>Russia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30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снова торговалась в районе 113,75%. 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Самый сильный отскок на прошлой неделе показали длинные выпуски эмитентов, которые попали под санкции: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Novatek-22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и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ROSNEFT-22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. Все-таки примирительный тон заявлений, а также результаты (пусть и скромные) встречи министров иностранных дел в Берлине увеличивают шансы на то, что ситуация начнет двигаться по сценарию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деэскалации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. 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На наш взгляд, вход в рынок на текущих уровнях остается привлекательным. Кредитное качество большинства российских эмитентов не ухудшилось, а доходности сейчас весьма привлекательные.</w:t>
                              </w:r>
                            </w:p>
                            <w:p w:rsidR="004D2497" w:rsidRDefault="004D2497">
                              <w:pPr>
                                <w:pStyle w:val="a00"/>
                                <w:spacing w:before="80" w:beforeAutospacing="0" w:after="0" w:afterAutospacing="0"/>
                                <w:jc w:val="both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4D2497" w:rsidRDefault="004D2497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4D2497" w:rsidRDefault="004D2497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D2497" w:rsidRDefault="004D249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4D2497" w:rsidRDefault="004D2497"/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Текущее снижение цен на нефть до 102 долл. за баррель имеет под собой фундаментальную основу, а именно – сокращение ВВП в еврозоне и Японии во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квартале, да и новости из Китая пока не внушают оптимизма относительно роста потребления нефтепродуктов. Кроме того, новость о продолжении совместного проекта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Exxon</w:t>
                              </w:r>
                              <w:r w:rsidRPr="004D249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Mobil</w:t>
                              </w:r>
                              <w:r w:rsidRPr="004D249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и Роснефти на арктическом шельфе говорит нам о формальном отсутствии влияния санкций на нефтегазовый сектор, что сокращает риски сокращения предложения нефти из России.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Слабые данные по потреблению золота давят на металл. Согласно данным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World</w:t>
                              </w:r>
                              <w:r w:rsidRPr="004D249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Gold</w:t>
                              </w:r>
                              <w:r w:rsidRPr="004D249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Council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, спрос на золото со стороны ювелирной промышленности во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квартале снизился примерно на 30% по отношению к тому же периоду прошлого года. Также отметилось сокращение спроса на инвестиционное золото – монеты и слитки (сокращение на 56% за тот же период). Кроме того,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World</w:t>
                              </w:r>
                              <w:r w:rsidRPr="004D249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Gold</w:t>
                              </w:r>
                              <w:r w:rsidRPr="004D249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Council</w:t>
                              </w:r>
                              <w:r w:rsidRPr="004D249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снизил прогноз относительно роста потребления золота в Индии и Китае. </w:t>
                              </w:r>
                            </w:p>
                            <w:p w:rsidR="004D2497" w:rsidRDefault="004D2497">
                              <w:pPr>
                                <w:pStyle w:val="a6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Данные по ожидаемому урожаю кукурузы от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USDA</w:t>
                              </w:r>
                              <w:r w:rsidRPr="004D249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сократились до 167,4 бушеля с акра земли, при предыдущем прогнозе ожидали урожай 170,2 бушеля/акр. Аналогичное сокращение прогноза отметилось в отчете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USDA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и в других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агрокультурах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, таких как соевые бобы, пшеница и хлопок. Впрочем, пока это не сильно сказалось на ценах, так как это капля в море на фоне ожидаемого роста предложения со стороны других игроков на мировом рынке продовольствия.</w:t>
                              </w:r>
                            </w:p>
                            <w:p w:rsidR="004D2497" w:rsidRDefault="004D24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4D2497" w:rsidRDefault="004D24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4D2497" w:rsidRDefault="004D249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4D2497" w:rsidRDefault="004D249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</w:tbl>
                <w:p w:rsidR="004D2497" w:rsidRDefault="004D249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>
                        <wp:extent cx="6667500" cy="762000"/>
                        <wp:effectExtent l="19050" t="0" r="0" b="0"/>
                        <wp:docPr id="5" name="Рисунок 5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249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2497" w:rsidRDefault="004D2497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4D24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2497" w:rsidRDefault="004D2497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4D249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2497" w:rsidRDefault="004D2497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4D2497" w:rsidRDefault="004D249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p w:rsidR="004D2497" w:rsidRDefault="004D2497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D2497" w:rsidRDefault="004D2497" w:rsidP="004D2497">
      <w:r>
        <w:rPr>
          <w:rFonts w:ascii="Arial" w:hAnsi="Arial" w:cs="Arial"/>
          <w:sz w:val="26"/>
          <w:szCs w:val="26"/>
        </w:rPr>
        <w:lastRenderedPageBreak/>
        <w:t> </w:t>
      </w:r>
    </w:p>
    <w:p w:rsidR="004D2497" w:rsidRDefault="004D2497" w:rsidP="004D2497">
      <w:r>
        <w:rPr>
          <w:rFonts w:ascii="Arial" w:hAnsi="Arial" w:cs="Arial"/>
          <w:sz w:val="26"/>
          <w:szCs w:val="26"/>
        </w:rPr>
        <w:t> </w:t>
      </w:r>
    </w:p>
    <w:p w:rsidR="004D2497" w:rsidRDefault="004D2497" w:rsidP="004D2497">
      <w:r>
        <w:rPr>
          <w:rFonts w:ascii="Arial" w:hAnsi="Arial" w:cs="Arial"/>
          <w:sz w:val="26"/>
          <w:szCs w:val="26"/>
        </w:rPr>
        <w:t> </w:t>
      </w:r>
    </w:p>
    <w:p w:rsidR="00AC2EBB" w:rsidRPr="00A40FDC" w:rsidRDefault="00AC2EBB" w:rsidP="00A40FDC"/>
    <w:sectPr w:rsidR="00AC2EBB" w:rsidRPr="00A40FDC" w:rsidSect="002B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C32"/>
    <w:rsid w:val="002200E6"/>
    <w:rsid w:val="002B271A"/>
    <w:rsid w:val="004D2497"/>
    <w:rsid w:val="0071666C"/>
    <w:rsid w:val="00A40FDC"/>
    <w:rsid w:val="00AC2EBB"/>
    <w:rsid w:val="00D22755"/>
    <w:rsid w:val="00D9424E"/>
    <w:rsid w:val="00F16B7D"/>
    <w:rsid w:val="00F20C32"/>
    <w:rsid w:val="00F71D76"/>
    <w:rsid w:val="00F8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76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C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00E6"/>
    <w:rPr>
      <w:color w:val="0000FF"/>
      <w:u w:val="single"/>
    </w:rPr>
  </w:style>
  <w:style w:type="character" w:customStyle="1" w:styleId="f-fake-urlu1">
    <w:name w:val="f-fake-url__u1"/>
    <w:basedOn w:val="a0"/>
    <w:rsid w:val="00F16B7D"/>
    <w:rPr>
      <w:u w:val="single"/>
    </w:rPr>
  </w:style>
  <w:style w:type="paragraph" w:customStyle="1" w:styleId="Default">
    <w:name w:val="Default"/>
    <w:rsid w:val="00A40F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00">
    <w:name w:val="a0"/>
    <w:basedOn w:val="a"/>
    <w:rsid w:val="004D24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А Текст Знак"/>
    <w:basedOn w:val="a0"/>
    <w:link w:val="a6"/>
    <w:locked/>
    <w:rsid w:val="004D2497"/>
    <w:rPr>
      <w:rFonts w:ascii="Arial Narrow" w:hAnsi="Arial Narrow"/>
    </w:rPr>
  </w:style>
  <w:style w:type="paragraph" w:customStyle="1" w:styleId="a6">
    <w:name w:val="А Текст"/>
    <w:basedOn w:val="a"/>
    <w:link w:val="a5"/>
    <w:rsid w:val="004D2497"/>
    <w:pPr>
      <w:spacing w:before="80"/>
      <w:jc w:val="both"/>
    </w:pPr>
    <w:rPr>
      <w:rFonts w:ascii="Arial Narrow" w:hAnsi="Arial Narrow" w:cstheme="minorBidi"/>
    </w:rPr>
  </w:style>
  <w:style w:type="character" w:customStyle="1" w:styleId="a7">
    <w:name w:val="А_ПОДЗАГОЛОВОК Знак"/>
    <w:basedOn w:val="a0"/>
    <w:link w:val="a8"/>
    <w:locked/>
    <w:rsid w:val="004D2497"/>
    <w:rPr>
      <w:rFonts w:ascii="Arial" w:hAnsi="Arial" w:cs="Arial"/>
      <w:b/>
      <w:bCs/>
      <w:color w:val="FF0000"/>
    </w:rPr>
  </w:style>
  <w:style w:type="paragraph" w:customStyle="1" w:styleId="a8">
    <w:name w:val="А_ПОДЗАГОЛОВОК"/>
    <w:basedOn w:val="a"/>
    <w:link w:val="a7"/>
    <w:rsid w:val="004D2497"/>
    <w:rPr>
      <w:rFonts w:ascii="Arial" w:hAnsi="Arial" w:cs="Arial"/>
      <w:b/>
      <w:bCs/>
      <w:color w:val="FF0000"/>
    </w:rPr>
  </w:style>
  <w:style w:type="paragraph" w:styleId="a9">
    <w:name w:val="Balloon Text"/>
    <w:basedOn w:val="a"/>
    <w:link w:val="aa"/>
    <w:uiPriority w:val="99"/>
    <w:semiHidden/>
    <w:unhideWhenUsed/>
    <w:rsid w:val="004D24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jpg@01CFBAFE.29E051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gif@01CFBAFE.29E05160" TargetMode="External"/><Relationship Id="rId5" Type="http://schemas.openxmlformats.org/officeDocument/2006/relationships/image" Target="cid:image001.jpg@01CFBAFE.29E05160" TargetMode="External"/><Relationship Id="rId10" Type="http://schemas.openxmlformats.org/officeDocument/2006/relationships/image" Target="media/image4.gif"/><Relationship Id="rId4" Type="http://schemas.openxmlformats.org/officeDocument/2006/relationships/image" Target="media/image1.jpeg"/><Relationship Id="rId9" Type="http://schemas.openxmlformats.org/officeDocument/2006/relationships/image" Target="cid:image003.jpg@01CFBAFE.29E05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2014-08-18T06:05:00Z</dcterms:created>
  <dcterms:modified xsi:type="dcterms:W3CDTF">2014-08-18T12:09:00Z</dcterms:modified>
</cp:coreProperties>
</file>