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F94" w:rsidRDefault="00117591" w:rsidP="00AB33B6">
      <w:pPr>
        <w:spacing w:after="6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  <w:lang w:val="ru-RU"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8" type="#_x0000_t32" style="position:absolute;left:0;text-align:left;margin-left:-163pt;margin-top:785.25pt;width:156.95pt;height:0;z-index:251668480;mso-position-horizontal:absolute;mso-position-vertical:absolute;mso-position-vertical-relative:page" o:connectortype="straight" strokecolor="#6e6f72" strokeweight="1.5pt">
            <w10:wrap anchory="page"/>
          </v:shape>
        </w:pict>
      </w:r>
      <w:r>
        <w:rPr>
          <w:noProof/>
          <w:sz w:val="18"/>
          <w:szCs w:val="18"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7" type="#_x0000_t202" style="position:absolute;left:0;text-align:left;margin-left:-161.95pt;margin-top:788.25pt;width:155.75pt;height:38.8pt;z-index:251667456;mso-position-horizontal:absolute;mso-position-vertical:absolute;mso-position-vertical-relative:page" filled="f" stroked="f">
            <v:textbox style="mso-next-textbox:#_x0000_s1157" inset="0,0,0,0">
              <w:txbxContent>
                <w:p w:rsidR="006260B8" w:rsidRPr="006260B8" w:rsidRDefault="006260B8" w:rsidP="006260B8">
                  <w:pPr>
                    <w:spacing w:after="0" w:line="240" w:lineRule="auto"/>
                    <w:rPr>
                      <w:b/>
                      <w:sz w:val="16"/>
                      <w:szCs w:val="16"/>
                      <w:lang w:val="ru-RU"/>
                    </w:rPr>
                  </w:pPr>
                  <w:r>
                    <w:rPr>
                      <w:b/>
                      <w:sz w:val="16"/>
                      <w:szCs w:val="16"/>
                      <w:lang w:val="ru-RU"/>
                    </w:rPr>
                    <w:t>Аналитический отдел</w:t>
                  </w:r>
                </w:p>
                <w:p w:rsidR="006260B8" w:rsidRPr="006260B8" w:rsidRDefault="00117591" w:rsidP="006260B8">
                  <w:pPr>
                    <w:spacing w:after="0" w:line="240" w:lineRule="auto"/>
                    <w:rPr>
                      <w:sz w:val="16"/>
                      <w:szCs w:val="16"/>
                      <w:lang w:val="ru-RU"/>
                    </w:rPr>
                  </w:pPr>
                  <w:hyperlink r:id="rId8" w:history="1">
                    <w:r w:rsidR="006260B8" w:rsidRPr="00CD44BD">
                      <w:rPr>
                        <w:rStyle w:val="a9"/>
                        <w:sz w:val="16"/>
                        <w:szCs w:val="16"/>
                      </w:rPr>
                      <w:t>research</w:t>
                    </w:r>
                    <w:r w:rsidR="006260B8" w:rsidRPr="00CD44BD">
                      <w:rPr>
                        <w:rStyle w:val="a9"/>
                        <w:sz w:val="16"/>
                        <w:szCs w:val="16"/>
                        <w:lang w:val="ru-RU"/>
                      </w:rPr>
                      <w:t>@</w:t>
                    </w:r>
                    <w:proofErr w:type="spellStart"/>
                    <w:r w:rsidR="006260B8" w:rsidRPr="00CD44BD">
                      <w:rPr>
                        <w:rStyle w:val="a9"/>
                        <w:sz w:val="16"/>
                        <w:szCs w:val="16"/>
                      </w:rPr>
                      <w:t>bfa</w:t>
                    </w:r>
                    <w:proofErr w:type="spellEnd"/>
                    <w:r w:rsidR="006260B8" w:rsidRPr="00CD44BD">
                      <w:rPr>
                        <w:rStyle w:val="a9"/>
                        <w:sz w:val="16"/>
                        <w:szCs w:val="16"/>
                        <w:lang w:val="ru-RU"/>
                      </w:rPr>
                      <w:t>.</w:t>
                    </w:r>
                    <w:proofErr w:type="spellStart"/>
                    <w:r w:rsidR="006260B8" w:rsidRPr="00CD44BD">
                      <w:rPr>
                        <w:rStyle w:val="a9"/>
                        <w:sz w:val="16"/>
                        <w:szCs w:val="16"/>
                      </w:rPr>
                      <w:t>ru</w:t>
                    </w:r>
                    <w:proofErr w:type="spellEnd"/>
                  </w:hyperlink>
                </w:p>
              </w:txbxContent>
            </v:textbox>
            <w10:wrap anchory="page"/>
          </v:shape>
        </w:pict>
      </w:r>
      <w:r w:rsidRPr="00117591">
        <w:rPr>
          <w:b/>
          <w:lang w:val="ru-RU"/>
        </w:rPr>
        <w:pict>
          <v:shape id="_x0000_s1026" type="#_x0000_t32" style="position:absolute;left:0;text-align:left;margin-left:-86.05pt;margin-top:24.95pt;width:0;height:46pt;z-index:251646976;mso-position-horizontal:absolute;mso-position-vertical:absolute;mso-position-vertical-relative:page" o:connectortype="straight" strokecolor="white" strokeweight="1.5pt">
            <w10:wrap anchory="page"/>
          </v:shape>
        </w:pict>
      </w:r>
      <w:r w:rsidRPr="00117591">
        <w:rPr>
          <w:b/>
          <w:lang w:val="ru-RU"/>
        </w:rPr>
        <w:pict>
          <v:shape id="WeekText" o:spid="_x0000_s1028" type="#_x0000_t202" alt="Hello!" style="position:absolute;left:0;text-align:left;margin-left:-83.35pt;margin-top:39.4pt;width:303.3pt;height:32.05pt;z-index:251649024;mso-wrap-distance-left:9.05pt;mso-wrap-distance-right:9.05pt;mso-position-horizontal:absolute;mso-position-vertical:absolute;mso-position-vertical-relative:page;mso-width-relative:margin;mso-height-relative:margin" o:regroupid="1" filled="f" stroked="f">
            <v:textbox style="mso-next-textbox:#WeekText" inset="2.5mm,1.3mm,2.5mm,1.3mm">
              <w:txbxContent>
                <w:p w:rsidR="00B57FC1" w:rsidRPr="002E07CD" w:rsidRDefault="00724FCB" w:rsidP="00F84B41">
                  <w:pPr>
                    <w:rPr>
                      <w:szCs w:val="36"/>
                      <w:lang w:val="ru-RU"/>
                    </w:rPr>
                  </w:pPr>
                  <w:proofErr w:type="spellStart"/>
                  <w:proofErr w:type="gramStart"/>
                  <w:r>
                    <w:rPr>
                      <w:color w:val="FFFFFF"/>
                      <w:sz w:val="36"/>
                      <w:szCs w:val="36"/>
                    </w:rPr>
                    <w:t>неделя</w:t>
                  </w:r>
                  <w:proofErr w:type="spellEnd"/>
                  <w:proofErr w:type="gramEnd"/>
                  <w:r>
                    <w:rPr>
                      <w:color w:val="FFFFFF"/>
                      <w:sz w:val="36"/>
                      <w:szCs w:val="36"/>
                    </w:rPr>
                    <w:t xml:space="preserve"> </w:t>
                  </w:r>
                  <w:r w:rsidR="002E07CD">
                    <w:rPr>
                      <w:color w:val="FFFFFF"/>
                      <w:sz w:val="36"/>
                      <w:szCs w:val="36"/>
                      <w:lang w:val="ru-RU"/>
                    </w:rPr>
                    <w:t>11</w:t>
                  </w:r>
                  <w:r w:rsidR="002E07CD">
                    <w:rPr>
                      <w:color w:val="FFFFFF"/>
                      <w:sz w:val="36"/>
                      <w:szCs w:val="36"/>
                    </w:rPr>
                    <w:t xml:space="preserve"> - </w:t>
                  </w:r>
                  <w:r w:rsidR="002E07CD">
                    <w:rPr>
                      <w:color w:val="FFFFFF"/>
                      <w:sz w:val="36"/>
                      <w:szCs w:val="36"/>
                      <w:lang w:val="ru-RU"/>
                    </w:rPr>
                    <w:t>17</w:t>
                  </w:r>
                  <w:r w:rsidR="002E07CD">
                    <w:rPr>
                      <w:color w:val="FFFFFF"/>
                      <w:sz w:val="36"/>
                      <w:szCs w:val="36"/>
                    </w:rPr>
                    <w:t xml:space="preserve"> </w:t>
                  </w:r>
                  <w:r w:rsidR="002E07CD">
                    <w:rPr>
                      <w:color w:val="FFFFFF"/>
                      <w:sz w:val="36"/>
                      <w:szCs w:val="36"/>
                      <w:lang w:val="ru-RU"/>
                    </w:rPr>
                    <w:t>июля</w:t>
                  </w:r>
                </w:p>
              </w:txbxContent>
            </v:textbox>
            <w10:wrap anchory="page"/>
          </v:shape>
        </w:pict>
      </w:r>
      <w:r w:rsidRPr="00117591">
        <w:rPr>
          <w:b/>
          <w:lang w:val="ru-RU"/>
        </w:rPr>
        <w:pict>
          <v:shape id="_x0000_s1027" type="#_x0000_t202" style="position:absolute;left:0;text-align:left;margin-left:-86.05pt;margin-top:17pt;width:303.25pt;height:32.1pt;z-index:251648000;mso-position-horizontal:absolute;mso-position-vertical:absolute;mso-position-vertical-relative:page;mso-width-relative:margin;mso-height-relative:margin" o:regroupid="1" filled="f" stroked="f">
            <v:textbox style="mso-next-textbox:#_x0000_s1027">
              <w:txbxContent>
                <w:p w:rsidR="00B57FC1" w:rsidRPr="004A3054" w:rsidRDefault="00B57FC1">
                  <w:pPr>
                    <w:rPr>
                      <w:color w:val="FFFFFF"/>
                      <w:sz w:val="36"/>
                      <w:szCs w:val="36"/>
                    </w:rPr>
                  </w:pPr>
                  <w:proofErr w:type="spellStart"/>
                  <w:r w:rsidRPr="004A3054">
                    <w:rPr>
                      <w:color w:val="FFFFFF"/>
                      <w:sz w:val="36"/>
                      <w:szCs w:val="36"/>
                    </w:rPr>
                    <w:t>Индексы</w:t>
                  </w:r>
                  <w:proofErr w:type="spellEnd"/>
                  <w:r w:rsidRPr="004A3054">
                    <w:rPr>
                      <w:color w:val="FFFFFF"/>
                      <w:sz w:val="36"/>
                      <w:szCs w:val="36"/>
                    </w:rPr>
                    <w:t xml:space="preserve"> и </w:t>
                  </w:r>
                  <w:proofErr w:type="spellStart"/>
                  <w:r w:rsidRPr="004A3054">
                    <w:rPr>
                      <w:color w:val="FFFFFF"/>
                      <w:sz w:val="36"/>
                      <w:szCs w:val="36"/>
                    </w:rPr>
                    <w:t>индикаторы</w:t>
                  </w:r>
                  <w:proofErr w:type="spellEnd"/>
                  <w:r w:rsidRPr="004A3054">
                    <w:rPr>
                      <w:color w:val="FFFFFF"/>
                      <w:sz w:val="36"/>
                      <w:szCs w:val="36"/>
                    </w:rPr>
                    <w:t>:</w:t>
                  </w:r>
                </w:p>
              </w:txbxContent>
            </v:textbox>
            <w10:wrap anchory="page"/>
          </v:shape>
        </w:pict>
      </w:r>
      <w:r w:rsidRPr="00117591">
        <w:rPr>
          <w:b/>
          <w:lang w:val="ru-RU"/>
        </w:rPr>
        <w:pict>
          <v:shape id="_x0000_s1030" type="#_x0000_t202" style="position:absolute;left:0;text-align:left;margin-left:255pt;margin-top:42.05pt;width:143.9pt;height:20.1pt;z-index:251651072;mso-position-horizontal:absolute;mso-position-vertical:absolute;mso-position-vertical-relative:page;mso-width-relative:margin;mso-height-relative:margin" o:regroupid="2" filled="f" stroked="f">
            <v:textbox style="mso-next-textbox:#_x0000_s1030">
              <w:txbxContent>
                <w:p w:rsidR="00B57FC1" w:rsidRPr="004A3054" w:rsidRDefault="00117591" w:rsidP="00EF71C9">
                  <w:pPr>
                    <w:jc w:val="right"/>
                    <w:rPr>
                      <w:color w:val="FFFFFF"/>
                      <w:sz w:val="20"/>
                      <w:szCs w:val="20"/>
                    </w:rPr>
                  </w:pPr>
                  <w:r w:rsidRPr="004A3054">
                    <w:rPr>
                      <w:color w:val="FFFFFF"/>
                      <w:sz w:val="20"/>
                      <w:szCs w:val="20"/>
                    </w:rPr>
                    <w:fldChar w:fldCharType="begin"/>
                  </w:r>
                  <w:r w:rsidR="00B57FC1" w:rsidRPr="004A3054">
                    <w:rPr>
                      <w:color w:val="FFFFFF"/>
                      <w:sz w:val="20"/>
                      <w:szCs w:val="20"/>
                    </w:rPr>
                    <w:instrText xml:space="preserve"> DATE  \@ "DD.MM.YYYY"  \* MERGEFORMAT </w:instrText>
                  </w:r>
                  <w:r w:rsidRPr="004A3054">
                    <w:rPr>
                      <w:color w:val="FFFFFF"/>
                      <w:sz w:val="20"/>
                      <w:szCs w:val="20"/>
                    </w:rPr>
                    <w:fldChar w:fldCharType="separate"/>
                  </w:r>
                  <w:r w:rsidR="002E07CD">
                    <w:rPr>
                      <w:noProof/>
                      <w:color w:val="FFFFFF"/>
                      <w:sz w:val="20"/>
                      <w:szCs w:val="20"/>
                    </w:rPr>
                    <w:t>18.07.2011</w:t>
                  </w:r>
                  <w:r w:rsidRPr="004A3054">
                    <w:rPr>
                      <w:color w:val="FFFFFF"/>
                      <w:sz w:val="20"/>
                      <w:szCs w:val="20"/>
                    </w:rPr>
                    <w:fldChar w:fldCharType="end"/>
                  </w:r>
                </w:p>
              </w:txbxContent>
            </v:textbox>
            <w10:wrap anchory="page"/>
          </v:shape>
        </w:pict>
      </w:r>
      <w:r w:rsidRPr="00117591">
        <w:rPr>
          <w:b/>
          <w:lang w:val="ru-RU"/>
        </w:rPr>
        <w:pict>
          <v:shape id="_x0000_s1029" type="#_x0000_t202" style="position:absolute;left:0;text-align:left;margin-left:255pt;margin-top:26.45pt;width:143.9pt;height:20.1pt;z-index:251650048;mso-position-horizontal:absolute;mso-position-vertical:absolute;mso-position-vertical-relative:page;mso-width-relative:margin;mso-height-relative:margin" o:regroupid="2" filled="f" stroked="f">
            <v:textbox style="mso-next-textbox:#_x0000_s1029">
              <w:txbxContent>
                <w:p w:rsidR="00B57FC1" w:rsidRPr="004A3054" w:rsidRDefault="00B57FC1" w:rsidP="00CC568F">
                  <w:pPr>
                    <w:jc w:val="right"/>
                    <w:rPr>
                      <w:color w:val="FFFFFF"/>
                      <w:sz w:val="20"/>
                      <w:szCs w:val="20"/>
                    </w:rPr>
                  </w:pPr>
                  <w:r w:rsidRPr="004A3054">
                    <w:rPr>
                      <w:color w:val="FFFFFF"/>
                      <w:sz w:val="20"/>
                      <w:szCs w:val="20"/>
                    </w:rPr>
                    <w:t>ГЛОБАЛЬНЫЕ РЫНКИ</w:t>
                  </w:r>
                </w:p>
              </w:txbxContent>
            </v:textbox>
            <w10:wrap anchory="page"/>
          </v:shape>
        </w:pict>
      </w:r>
    </w:p>
    <w:p w:rsidR="00CC568F" w:rsidRPr="002D0F94" w:rsidRDefault="002D0F94" w:rsidP="00AB33B6">
      <w:pPr>
        <w:spacing w:after="60" w:line="240" w:lineRule="auto"/>
        <w:jc w:val="both"/>
        <w:rPr>
          <w:b/>
          <w:lang w:val="ru-RU"/>
        </w:rPr>
      </w:pPr>
      <w:r w:rsidRPr="002D0F94">
        <w:rPr>
          <w:b/>
          <w:lang w:val="ru-RU"/>
        </w:rPr>
        <w:t>Драйверы недели</w:t>
      </w:r>
    </w:p>
    <w:p w:rsidR="006036D9" w:rsidRPr="006036D9" w:rsidRDefault="006036D9" w:rsidP="006036D9">
      <w:pPr>
        <w:numPr>
          <w:ilvl w:val="0"/>
          <w:numId w:val="4"/>
        </w:numPr>
        <w:spacing w:after="120"/>
        <w:ind w:left="284" w:hanging="284"/>
        <w:jc w:val="both"/>
        <w:rPr>
          <w:sz w:val="19"/>
          <w:szCs w:val="19"/>
          <w:lang w:val="ru-RU"/>
        </w:rPr>
      </w:pPr>
      <w:bookmarkStart w:id="0" w:name="b1"/>
      <w:r w:rsidRPr="006036D9">
        <w:rPr>
          <w:b/>
          <w:sz w:val="19"/>
          <w:szCs w:val="19"/>
          <w:lang w:val="ru-RU"/>
        </w:rPr>
        <w:t>На прошлой неделе на рынках заметно активизировалось обсуждение возможности нового раунда количественного смягчения в США.</w:t>
      </w:r>
      <w:r w:rsidRPr="006036D9">
        <w:rPr>
          <w:sz w:val="19"/>
          <w:szCs w:val="19"/>
          <w:lang w:val="ru-RU"/>
        </w:rPr>
        <w:t xml:space="preserve"> Опубликованный протокол июньского заседания ФРС, в котором отмечалось, что некоторые члены выступили за новый раунд монетарных ст</w:t>
      </w:r>
      <w:r w:rsidRPr="006036D9">
        <w:rPr>
          <w:sz w:val="19"/>
          <w:szCs w:val="19"/>
          <w:lang w:val="ru-RU"/>
        </w:rPr>
        <w:t>и</w:t>
      </w:r>
      <w:r w:rsidRPr="006036D9">
        <w:rPr>
          <w:sz w:val="19"/>
          <w:szCs w:val="19"/>
          <w:lang w:val="ru-RU"/>
        </w:rPr>
        <w:t>мулов в случае, если экономический рост будет слишком слабым, особого энтузиазма на ры</w:t>
      </w:r>
      <w:r w:rsidRPr="006036D9">
        <w:rPr>
          <w:sz w:val="19"/>
          <w:szCs w:val="19"/>
          <w:lang w:val="ru-RU"/>
        </w:rPr>
        <w:t>н</w:t>
      </w:r>
      <w:r w:rsidRPr="006036D9">
        <w:rPr>
          <w:sz w:val="19"/>
          <w:szCs w:val="19"/>
          <w:lang w:val="ru-RU"/>
        </w:rPr>
        <w:t>ках не вызвал. Однако днем позже слова главы ФРС Б.Бернаке в палате представителей Ко</w:t>
      </w:r>
      <w:r w:rsidRPr="006036D9">
        <w:rPr>
          <w:sz w:val="19"/>
          <w:szCs w:val="19"/>
          <w:lang w:val="ru-RU"/>
        </w:rPr>
        <w:t>н</w:t>
      </w:r>
      <w:r w:rsidRPr="006036D9">
        <w:rPr>
          <w:sz w:val="19"/>
          <w:szCs w:val="19"/>
          <w:lang w:val="ru-RU"/>
        </w:rPr>
        <w:t>гресса США о том, что регулятор готов действовать, если экономике потребуется дополнител</w:t>
      </w:r>
      <w:r w:rsidRPr="006036D9">
        <w:rPr>
          <w:sz w:val="19"/>
          <w:szCs w:val="19"/>
          <w:lang w:val="ru-RU"/>
        </w:rPr>
        <w:t>ь</w:t>
      </w:r>
      <w:r w:rsidRPr="006036D9">
        <w:rPr>
          <w:sz w:val="19"/>
          <w:szCs w:val="19"/>
          <w:lang w:val="ru-RU"/>
        </w:rPr>
        <w:t xml:space="preserve">ная поддержка, вдохнули жизнь в надежды инвесторов на </w:t>
      </w:r>
      <w:r>
        <w:rPr>
          <w:sz w:val="19"/>
          <w:szCs w:val="19"/>
        </w:rPr>
        <w:t>QE</w:t>
      </w:r>
      <w:r w:rsidRPr="006036D9">
        <w:rPr>
          <w:sz w:val="19"/>
          <w:szCs w:val="19"/>
          <w:lang w:val="ru-RU"/>
        </w:rPr>
        <w:t xml:space="preserve">3 и стали причиной роста на фондовых и товарных рынках. </w:t>
      </w:r>
      <w:proofErr w:type="gramStart"/>
      <w:r w:rsidRPr="006036D9">
        <w:rPr>
          <w:sz w:val="19"/>
          <w:szCs w:val="19"/>
          <w:lang w:val="ru-RU"/>
        </w:rPr>
        <w:t xml:space="preserve">Тем сильнее оказалось разочарование «быков» в четверг, когда в сенате при в целом том же содержании выступления Б.Бернанке более четко сказал, что </w:t>
      </w:r>
      <w:r>
        <w:rPr>
          <w:sz w:val="19"/>
          <w:szCs w:val="19"/>
        </w:rPr>
        <w:t>QE</w:t>
      </w:r>
      <w:r w:rsidRPr="006036D9">
        <w:rPr>
          <w:sz w:val="19"/>
          <w:szCs w:val="19"/>
          <w:lang w:val="ru-RU"/>
        </w:rPr>
        <w:t>3 возможно в принципе, но речи о нем прямо сейчас не идет, потому что замедление эконом</w:t>
      </w:r>
      <w:r w:rsidRPr="006036D9">
        <w:rPr>
          <w:sz w:val="19"/>
          <w:szCs w:val="19"/>
          <w:lang w:val="ru-RU"/>
        </w:rPr>
        <w:t>и</w:t>
      </w:r>
      <w:r w:rsidRPr="006036D9">
        <w:rPr>
          <w:sz w:val="19"/>
          <w:szCs w:val="19"/>
          <w:lang w:val="ru-RU"/>
        </w:rPr>
        <w:t>ки может быть временным, а инфляции выше, чем на момент начала второго раунда колич</w:t>
      </w:r>
      <w:r w:rsidRPr="006036D9">
        <w:rPr>
          <w:sz w:val="19"/>
          <w:szCs w:val="19"/>
          <w:lang w:val="ru-RU"/>
        </w:rPr>
        <w:t>е</w:t>
      </w:r>
      <w:r w:rsidRPr="006036D9">
        <w:rPr>
          <w:sz w:val="19"/>
          <w:szCs w:val="19"/>
          <w:lang w:val="ru-RU"/>
        </w:rPr>
        <w:t>ственного смягчения.</w:t>
      </w:r>
      <w:proofErr w:type="gramEnd"/>
    </w:p>
    <w:p w:rsidR="006036D9" w:rsidRDefault="006036D9" w:rsidP="006036D9">
      <w:pPr>
        <w:numPr>
          <w:ilvl w:val="0"/>
          <w:numId w:val="4"/>
        </w:numPr>
        <w:spacing w:after="120"/>
        <w:ind w:left="284" w:hanging="284"/>
        <w:jc w:val="both"/>
        <w:rPr>
          <w:sz w:val="19"/>
          <w:szCs w:val="19"/>
          <w:lang w:val="ru-RU"/>
        </w:rPr>
      </w:pPr>
      <w:r w:rsidRPr="006036D9">
        <w:rPr>
          <w:b/>
          <w:sz w:val="19"/>
          <w:szCs w:val="19"/>
          <w:lang w:val="ru-RU"/>
        </w:rPr>
        <w:t>Так и не поднятый пока потолок госдолга США постепенно становится одной из основных новостных тем для финансовых рынков.</w:t>
      </w:r>
      <w:r w:rsidRPr="006036D9">
        <w:rPr>
          <w:sz w:val="19"/>
          <w:szCs w:val="19"/>
          <w:lang w:val="ru-RU"/>
        </w:rPr>
        <w:t xml:space="preserve"> Переговоры между администрацией президента Б. Обамы и республиканским большинством Конгресса США на данные момент не привели к к</w:t>
      </w:r>
      <w:r w:rsidRPr="006036D9">
        <w:rPr>
          <w:sz w:val="19"/>
          <w:szCs w:val="19"/>
          <w:lang w:val="ru-RU"/>
        </w:rPr>
        <w:t>а</w:t>
      </w:r>
      <w:r w:rsidRPr="006036D9">
        <w:rPr>
          <w:sz w:val="19"/>
          <w:szCs w:val="19"/>
          <w:lang w:val="ru-RU"/>
        </w:rPr>
        <w:t xml:space="preserve">кому-либо результату. На этом фоне в течение прошлой недели представители агентства </w:t>
      </w:r>
      <w:r>
        <w:rPr>
          <w:rFonts w:ascii="MS Sans Serif" w:hAnsi="MS Sans Serif" w:cs="MS Sans Serif"/>
          <w:color w:val="000000"/>
          <w:sz w:val="16"/>
          <w:szCs w:val="16"/>
        </w:rPr>
        <w:t>Sta</w:t>
      </w:r>
      <w:r>
        <w:rPr>
          <w:rFonts w:ascii="MS Sans Serif" w:hAnsi="MS Sans Serif" w:cs="MS Sans Serif"/>
          <w:color w:val="000000"/>
          <w:sz w:val="16"/>
          <w:szCs w:val="16"/>
        </w:rPr>
        <w:t>n</w:t>
      </w:r>
      <w:r>
        <w:rPr>
          <w:rFonts w:ascii="MS Sans Serif" w:hAnsi="MS Sans Serif" w:cs="MS Sans Serif"/>
          <w:color w:val="000000"/>
          <w:sz w:val="16"/>
          <w:szCs w:val="16"/>
        </w:rPr>
        <w:t>dard</w:t>
      </w:r>
      <w:r w:rsidRPr="006036D9">
        <w:rPr>
          <w:rFonts w:ascii="MS Sans Serif" w:hAnsi="MS Sans Serif" w:cs="MS Sans Serif"/>
          <w:color w:val="000000"/>
          <w:sz w:val="16"/>
          <w:szCs w:val="16"/>
          <w:lang w:val="ru-RU"/>
        </w:rPr>
        <w:t xml:space="preserve"> &amp; </w:t>
      </w:r>
      <w:r>
        <w:rPr>
          <w:rFonts w:ascii="MS Sans Serif" w:hAnsi="MS Sans Serif" w:cs="MS Sans Serif"/>
          <w:color w:val="000000"/>
          <w:sz w:val="16"/>
          <w:szCs w:val="16"/>
        </w:rPr>
        <w:t>Poor</w:t>
      </w:r>
      <w:r w:rsidRPr="006036D9">
        <w:rPr>
          <w:rFonts w:ascii="MS Sans Serif" w:hAnsi="MS Sans Serif" w:cs="MS Sans Serif"/>
          <w:color w:val="000000"/>
          <w:sz w:val="16"/>
          <w:szCs w:val="16"/>
          <w:lang w:val="ru-RU"/>
        </w:rPr>
        <w:t>'</w:t>
      </w:r>
      <w:r>
        <w:rPr>
          <w:rFonts w:ascii="MS Sans Serif" w:hAnsi="MS Sans Serif" w:cs="MS Sans Serif"/>
          <w:color w:val="000000"/>
          <w:sz w:val="16"/>
          <w:szCs w:val="16"/>
        </w:rPr>
        <w:t>s</w:t>
      </w:r>
      <w:r w:rsidRPr="006036D9">
        <w:rPr>
          <w:rFonts w:ascii="MS Sans Serif" w:hAnsi="MS Sans Serif" w:cs="MS Sans Serif"/>
          <w:color w:val="000000"/>
          <w:sz w:val="16"/>
          <w:szCs w:val="16"/>
          <w:lang w:val="ru-RU"/>
        </w:rPr>
        <w:t xml:space="preserve"> неоднократно указывали на то, что США могут потерять суверенный рейтинг ААА, а </w:t>
      </w:r>
      <w:proofErr w:type="gramStart"/>
      <w:r w:rsidRPr="006036D9">
        <w:rPr>
          <w:rFonts w:ascii="MS Sans Serif" w:hAnsi="MS Sans Serif" w:cs="MS Sans Serif"/>
          <w:color w:val="000000"/>
          <w:sz w:val="16"/>
          <w:szCs w:val="16"/>
          <w:lang w:val="ru-RU"/>
        </w:rPr>
        <w:t>в</w:t>
      </w:r>
      <w:proofErr w:type="gramEnd"/>
      <w:r w:rsidRPr="006036D9">
        <w:rPr>
          <w:rFonts w:ascii="MS Sans Serif" w:hAnsi="MS Sans Serif" w:cs="MS Sans Serif"/>
          <w:color w:val="000000"/>
          <w:sz w:val="16"/>
          <w:szCs w:val="16"/>
          <w:lang w:val="ru-RU"/>
        </w:rPr>
        <w:t xml:space="preserve"> </w:t>
      </w:r>
      <w:proofErr w:type="gramStart"/>
      <w:r w:rsidRPr="006036D9">
        <w:rPr>
          <w:sz w:val="19"/>
          <w:szCs w:val="19"/>
          <w:lang w:val="ru-RU"/>
        </w:rPr>
        <w:t>н</w:t>
      </w:r>
      <w:r w:rsidRPr="006036D9">
        <w:rPr>
          <w:sz w:val="19"/>
          <w:szCs w:val="19"/>
          <w:lang w:val="ru-RU"/>
        </w:rPr>
        <w:t>о</w:t>
      </w:r>
      <w:r w:rsidRPr="006036D9">
        <w:rPr>
          <w:sz w:val="19"/>
          <w:szCs w:val="19"/>
          <w:lang w:val="ru-RU"/>
        </w:rPr>
        <w:t>чью</w:t>
      </w:r>
      <w:proofErr w:type="gramEnd"/>
      <w:r w:rsidRPr="006036D9">
        <w:rPr>
          <w:sz w:val="19"/>
          <w:szCs w:val="19"/>
          <w:lang w:val="ru-RU"/>
        </w:rPr>
        <w:t xml:space="preserve"> в четверг агентство </w:t>
      </w:r>
      <w:r w:rsidRPr="003E3DA2">
        <w:rPr>
          <w:sz w:val="19"/>
          <w:szCs w:val="19"/>
        </w:rPr>
        <w:t>Moody</w:t>
      </w:r>
      <w:r w:rsidRPr="006036D9">
        <w:rPr>
          <w:sz w:val="19"/>
          <w:szCs w:val="19"/>
          <w:lang w:val="ru-RU"/>
        </w:rPr>
        <w:t>'</w:t>
      </w:r>
      <w:r w:rsidRPr="003E3DA2">
        <w:rPr>
          <w:sz w:val="19"/>
          <w:szCs w:val="19"/>
        </w:rPr>
        <w:t>s</w:t>
      </w:r>
      <w:r w:rsidRPr="006036D9">
        <w:rPr>
          <w:sz w:val="19"/>
          <w:szCs w:val="19"/>
          <w:lang w:val="ru-RU"/>
        </w:rPr>
        <w:t xml:space="preserve"> поместило рейтинг США на пересмотр с возможностью пон</w:t>
      </w:r>
      <w:r w:rsidRPr="006036D9">
        <w:rPr>
          <w:sz w:val="19"/>
          <w:szCs w:val="19"/>
          <w:lang w:val="ru-RU"/>
        </w:rPr>
        <w:t>и</w:t>
      </w:r>
      <w:r w:rsidRPr="006036D9">
        <w:rPr>
          <w:sz w:val="19"/>
          <w:szCs w:val="19"/>
          <w:lang w:val="ru-RU"/>
        </w:rPr>
        <w:t>жения. Большинство участников рынков почти не сомневаются, что до 2 августа американские политики смогут достигнуть компромисса. Однако тяжесть и непредсказуемость последствий противоположного сценария заставляет инвесторов проявлять осторожность и способст</w:t>
      </w:r>
      <w:r w:rsidR="002E07CD">
        <w:rPr>
          <w:sz w:val="19"/>
          <w:szCs w:val="19"/>
          <w:lang w:val="ru-RU"/>
        </w:rPr>
        <w:t xml:space="preserve">вует снижению </w:t>
      </w:r>
      <w:proofErr w:type="gramStart"/>
      <w:r w:rsidR="002E07CD">
        <w:rPr>
          <w:sz w:val="19"/>
          <w:szCs w:val="19"/>
          <w:lang w:val="ru-RU"/>
        </w:rPr>
        <w:t>аппетита к риску</w:t>
      </w:r>
      <w:proofErr w:type="gramEnd"/>
      <w:r w:rsidR="002E07CD">
        <w:rPr>
          <w:sz w:val="19"/>
          <w:szCs w:val="19"/>
          <w:lang w:val="ru-RU"/>
        </w:rPr>
        <w:t>.</w:t>
      </w:r>
    </w:p>
    <w:p w:rsidR="002E07CD" w:rsidRPr="00E03E0A" w:rsidRDefault="002E07CD" w:rsidP="006036D9">
      <w:pPr>
        <w:numPr>
          <w:ilvl w:val="0"/>
          <w:numId w:val="4"/>
        </w:numPr>
        <w:spacing w:after="120"/>
        <w:ind w:left="284" w:hanging="284"/>
        <w:jc w:val="both"/>
        <w:rPr>
          <w:sz w:val="19"/>
          <w:szCs w:val="19"/>
        </w:rPr>
      </w:pPr>
      <w:r w:rsidRPr="002E07CD">
        <w:rPr>
          <w:b/>
          <w:sz w:val="19"/>
          <w:szCs w:val="19"/>
          <w:lang w:val="ru-RU"/>
        </w:rPr>
        <w:t xml:space="preserve">С отчетности </w:t>
      </w:r>
      <w:r>
        <w:rPr>
          <w:b/>
          <w:sz w:val="19"/>
          <w:szCs w:val="19"/>
        </w:rPr>
        <w:t>Alcoa</w:t>
      </w:r>
      <w:r w:rsidRPr="002E07CD">
        <w:rPr>
          <w:b/>
          <w:sz w:val="19"/>
          <w:szCs w:val="19"/>
          <w:lang w:val="ru-RU"/>
        </w:rPr>
        <w:t xml:space="preserve"> вечером в прошлый понедельник стартовал сезон отчетности в США. </w:t>
      </w:r>
      <w:r w:rsidRPr="002E07CD">
        <w:rPr>
          <w:sz w:val="19"/>
          <w:szCs w:val="19"/>
          <w:lang w:val="ru-RU"/>
        </w:rPr>
        <w:t>Чи</w:t>
      </w:r>
      <w:r w:rsidRPr="002E07CD">
        <w:rPr>
          <w:sz w:val="19"/>
          <w:szCs w:val="19"/>
          <w:lang w:val="ru-RU"/>
        </w:rPr>
        <w:t>с</w:t>
      </w:r>
      <w:r w:rsidRPr="002E07CD">
        <w:rPr>
          <w:sz w:val="19"/>
          <w:szCs w:val="19"/>
          <w:lang w:val="ru-RU"/>
        </w:rPr>
        <w:t xml:space="preserve">тая прибыль алюминиевого гиганта выросла в 2,4 раза по сравнению с аналогичным периодом прошлого года, совпав с ожиданиями аналитиков. Из банков отчитались </w:t>
      </w:r>
      <w:r>
        <w:rPr>
          <w:sz w:val="19"/>
          <w:szCs w:val="19"/>
        </w:rPr>
        <w:t>JPMorgan</w:t>
      </w:r>
      <w:r w:rsidRPr="002E07CD">
        <w:rPr>
          <w:sz w:val="19"/>
          <w:szCs w:val="19"/>
          <w:lang w:val="ru-RU"/>
        </w:rPr>
        <w:t xml:space="preserve"> </w:t>
      </w:r>
      <w:r>
        <w:rPr>
          <w:sz w:val="19"/>
          <w:szCs w:val="19"/>
        </w:rPr>
        <w:t>Chase</w:t>
      </w:r>
      <w:r w:rsidRPr="002E07CD">
        <w:rPr>
          <w:sz w:val="19"/>
          <w:szCs w:val="19"/>
          <w:lang w:val="ru-RU"/>
        </w:rPr>
        <w:t xml:space="preserve"> в че</w:t>
      </w:r>
      <w:r w:rsidRPr="002E07CD">
        <w:rPr>
          <w:sz w:val="19"/>
          <w:szCs w:val="19"/>
          <w:lang w:val="ru-RU"/>
        </w:rPr>
        <w:t>т</w:t>
      </w:r>
      <w:r w:rsidRPr="002E07CD">
        <w:rPr>
          <w:sz w:val="19"/>
          <w:szCs w:val="19"/>
          <w:lang w:val="ru-RU"/>
        </w:rPr>
        <w:t xml:space="preserve">верг и </w:t>
      </w:r>
      <w:r>
        <w:rPr>
          <w:sz w:val="19"/>
          <w:szCs w:val="19"/>
        </w:rPr>
        <w:t>Citigroup</w:t>
      </w:r>
      <w:r w:rsidRPr="002E07CD">
        <w:rPr>
          <w:sz w:val="19"/>
          <w:szCs w:val="19"/>
          <w:lang w:val="ru-RU"/>
        </w:rPr>
        <w:t xml:space="preserve"> в пятницу – оба лучше ожиданий. В технологическом секторе </w:t>
      </w:r>
      <w:r>
        <w:rPr>
          <w:sz w:val="19"/>
          <w:szCs w:val="19"/>
        </w:rPr>
        <w:t>Google</w:t>
      </w:r>
      <w:r w:rsidRPr="002E07CD">
        <w:rPr>
          <w:sz w:val="19"/>
          <w:szCs w:val="19"/>
          <w:lang w:val="ru-RU"/>
        </w:rPr>
        <w:t xml:space="preserve"> отчитался </w:t>
      </w:r>
      <w:r>
        <w:rPr>
          <w:sz w:val="19"/>
          <w:szCs w:val="19"/>
          <w:lang w:val="ru-RU"/>
        </w:rPr>
        <w:t xml:space="preserve">– и также </w:t>
      </w:r>
      <w:r w:rsidRPr="002E07CD">
        <w:rPr>
          <w:sz w:val="19"/>
          <w:szCs w:val="19"/>
          <w:lang w:val="ru-RU"/>
        </w:rPr>
        <w:t>существенно лучше ожиданий. Среди</w:t>
      </w:r>
      <w:r w:rsidRPr="00E03E0A">
        <w:rPr>
          <w:sz w:val="19"/>
          <w:szCs w:val="19"/>
        </w:rPr>
        <w:t xml:space="preserve"> </w:t>
      </w:r>
      <w:r w:rsidRPr="002E07CD">
        <w:rPr>
          <w:sz w:val="19"/>
          <w:szCs w:val="19"/>
          <w:lang w:val="ru-RU"/>
        </w:rPr>
        <w:t>компаний</w:t>
      </w:r>
      <w:r w:rsidRPr="00E03E0A">
        <w:rPr>
          <w:sz w:val="19"/>
          <w:szCs w:val="19"/>
        </w:rPr>
        <w:t xml:space="preserve">, </w:t>
      </w:r>
      <w:r w:rsidRPr="002E07CD">
        <w:rPr>
          <w:sz w:val="19"/>
          <w:szCs w:val="19"/>
          <w:lang w:val="ru-RU"/>
        </w:rPr>
        <w:t>отчитывающихся</w:t>
      </w:r>
      <w:r w:rsidRPr="00E03E0A">
        <w:rPr>
          <w:sz w:val="19"/>
          <w:szCs w:val="19"/>
        </w:rPr>
        <w:t xml:space="preserve"> </w:t>
      </w:r>
      <w:r w:rsidRPr="002E07CD">
        <w:rPr>
          <w:sz w:val="19"/>
          <w:szCs w:val="19"/>
          <w:lang w:val="ru-RU"/>
        </w:rPr>
        <w:t>на</w:t>
      </w:r>
      <w:r w:rsidRPr="00E03E0A">
        <w:rPr>
          <w:sz w:val="19"/>
          <w:szCs w:val="19"/>
        </w:rPr>
        <w:t xml:space="preserve"> </w:t>
      </w:r>
      <w:r w:rsidRPr="002E07CD">
        <w:rPr>
          <w:sz w:val="19"/>
          <w:szCs w:val="19"/>
          <w:lang w:val="ru-RU"/>
        </w:rPr>
        <w:t>этой</w:t>
      </w:r>
      <w:r w:rsidRPr="00E03E0A">
        <w:rPr>
          <w:sz w:val="19"/>
          <w:szCs w:val="19"/>
        </w:rPr>
        <w:t xml:space="preserve"> </w:t>
      </w:r>
      <w:r w:rsidRPr="002E07CD">
        <w:rPr>
          <w:sz w:val="19"/>
          <w:szCs w:val="19"/>
          <w:lang w:val="ru-RU"/>
        </w:rPr>
        <w:t>неделе</w:t>
      </w:r>
      <w:r w:rsidRPr="00E03E0A">
        <w:rPr>
          <w:sz w:val="19"/>
          <w:szCs w:val="19"/>
        </w:rPr>
        <w:t xml:space="preserve">: 19 </w:t>
      </w:r>
      <w:r w:rsidRPr="002E07CD">
        <w:rPr>
          <w:sz w:val="19"/>
          <w:szCs w:val="19"/>
          <w:lang w:val="ru-RU"/>
        </w:rPr>
        <w:t>июля</w:t>
      </w:r>
      <w:r w:rsidRPr="00E03E0A">
        <w:rPr>
          <w:sz w:val="19"/>
          <w:szCs w:val="19"/>
        </w:rPr>
        <w:t xml:space="preserve"> – </w:t>
      </w:r>
      <w:r>
        <w:rPr>
          <w:sz w:val="19"/>
          <w:szCs w:val="19"/>
        </w:rPr>
        <w:t>Apple</w:t>
      </w:r>
      <w:r w:rsidRPr="00E03E0A">
        <w:rPr>
          <w:sz w:val="19"/>
          <w:szCs w:val="19"/>
        </w:rPr>
        <w:t xml:space="preserve">, </w:t>
      </w:r>
      <w:r>
        <w:rPr>
          <w:sz w:val="19"/>
          <w:szCs w:val="19"/>
        </w:rPr>
        <w:t>Bank</w:t>
      </w:r>
      <w:r w:rsidRPr="00E03E0A">
        <w:rPr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 w:rsidRPr="00E03E0A">
        <w:rPr>
          <w:sz w:val="19"/>
          <w:szCs w:val="19"/>
        </w:rPr>
        <w:t xml:space="preserve"> </w:t>
      </w:r>
      <w:r>
        <w:rPr>
          <w:sz w:val="19"/>
          <w:szCs w:val="19"/>
        </w:rPr>
        <w:t>America</w:t>
      </w:r>
      <w:r w:rsidR="00E03E0A" w:rsidRPr="00E03E0A">
        <w:rPr>
          <w:sz w:val="19"/>
          <w:szCs w:val="19"/>
        </w:rPr>
        <w:t>,</w:t>
      </w:r>
      <w:r w:rsidRPr="00E03E0A">
        <w:rPr>
          <w:sz w:val="19"/>
          <w:szCs w:val="19"/>
        </w:rPr>
        <w:t xml:space="preserve"> </w:t>
      </w:r>
      <w:r>
        <w:rPr>
          <w:sz w:val="19"/>
          <w:szCs w:val="19"/>
        </w:rPr>
        <w:t>BNY</w:t>
      </w:r>
      <w:r w:rsidRPr="00E03E0A">
        <w:rPr>
          <w:sz w:val="19"/>
          <w:szCs w:val="19"/>
        </w:rPr>
        <w:t xml:space="preserve"> </w:t>
      </w:r>
      <w:r>
        <w:rPr>
          <w:sz w:val="19"/>
          <w:szCs w:val="19"/>
        </w:rPr>
        <w:t>Melon</w:t>
      </w:r>
      <w:r w:rsidRPr="00E03E0A">
        <w:rPr>
          <w:sz w:val="19"/>
          <w:szCs w:val="19"/>
        </w:rPr>
        <w:t xml:space="preserve">, </w:t>
      </w:r>
      <w:r>
        <w:rPr>
          <w:sz w:val="19"/>
          <w:szCs w:val="19"/>
        </w:rPr>
        <w:t>Wells</w:t>
      </w:r>
      <w:r w:rsidRPr="00E03E0A">
        <w:rPr>
          <w:sz w:val="19"/>
          <w:szCs w:val="19"/>
        </w:rPr>
        <w:t xml:space="preserve"> </w:t>
      </w:r>
      <w:r>
        <w:rPr>
          <w:sz w:val="19"/>
          <w:szCs w:val="19"/>
        </w:rPr>
        <w:t>Fargo</w:t>
      </w:r>
      <w:r w:rsidRPr="00E03E0A">
        <w:rPr>
          <w:sz w:val="19"/>
          <w:szCs w:val="19"/>
        </w:rPr>
        <w:t xml:space="preserve">, </w:t>
      </w:r>
      <w:r>
        <w:rPr>
          <w:sz w:val="19"/>
          <w:szCs w:val="19"/>
        </w:rPr>
        <w:t>Yahoo</w:t>
      </w:r>
      <w:r w:rsidRPr="00E03E0A">
        <w:rPr>
          <w:sz w:val="19"/>
          <w:szCs w:val="19"/>
        </w:rPr>
        <w:t xml:space="preserve">!, 20 </w:t>
      </w:r>
      <w:r w:rsidRPr="002E07CD">
        <w:rPr>
          <w:sz w:val="19"/>
          <w:szCs w:val="19"/>
          <w:lang w:val="ru-RU"/>
        </w:rPr>
        <w:t>июля</w:t>
      </w:r>
      <w:r w:rsidRPr="00E03E0A">
        <w:rPr>
          <w:sz w:val="19"/>
          <w:szCs w:val="19"/>
        </w:rPr>
        <w:t xml:space="preserve"> – </w:t>
      </w:r>
      <w:r>
        <w:rPr>
          <w:sz w:val="19"/>
          <w:szCs w:val="19"/>
        </w:rPr>
        <w:t>American</w:t>
      </w:r>
      <w:r w:rsidRPr="00E03E0A">
        <w:rPr>
          <w:sz w:val="19"/>
          <w:szCs w:val="19"/>
        </w:rPr>
        <w:t xml:space="preserve"> </w:t>
      </w:r>
      <w:r>
        <w:rPr>
          <w:sz w:val="19"/>
          <w:szCs w:val="19"/>
        </w:rPr>
        <w:t>Express</w:t>
      </w:r>
      <w:r w:rsidRPr="00E03E0A">
        <w:rPr>
          <w:sz w:val="19"/>
          <w:szCs w:val="19"/>
        </w:rPr>
        <w:t xml:space="preserve">, </w:t>
      </w:r>
      <w:r>
        <w:rPr>
          <w:sz w:val="19"/>
          <w:szCs w:val="19"/>
        </w:rPr>
        <w:t>I</w:t>
      </w:r>
      <w:r>
        <w:rPr>
          <w:sz w:val="19"/>
          <w:szCs w:val="19"/>
        </w:rPr>
        <w:t>n</w:t>
      </w:r>
      <w:r>
        <w:rPr>
          <w:sz w:val="19"/>
          <w:szCs w:val="19"/>
        </w:rPr>
        <w:t>tel</w:t>
      </w:r>
      <w:r w:rsidRPr="00E03E0A">
        <w:rPr>
          <w:sz w:val="19"/>
          <w:szCs w:val="19"/>
        </w:rPr>
        <w:t xml:space="preserve">, 22 </w:t>
      </w:r>
      <w:r w:rsidRPr="002E07CD">
        <w:rPr>
          <w:sz w:val="19"/>
          <w:szCs w:val="19"/>
          <w:lang w:val="ru-RU"/>
        </w:rPr>
        <w:t>июля</w:t>
      </w:r>
      <w:r w:rsidRPr="00E03E0A">
        <w:rPr>
          <w:sz w:val="19"/>
          <w:szCs w:val="19"/>
        </w:rPr>
        <w:t xml:space="preserve"> - </w:t>
      </w:r>
      <w:r w:rsidRPr="004B347D">
        <w:rPr>
          <w:sz w:val="19"/>
          <w:szCs w:val="19"/>
        </w:rPr>
        <w:t>General</w:t>
      </w:r>
      <w:r w:rsidRPr="00E03E0A">
        <w:rPr>
          <w:sz w:val="19"/>
          <w:szCs w:val="19"/>
        </w:rPr>
        <w:t xml:space="preserve"> </w:t>
      </w:r>
      <w:r w:rsidRPr="004B347D">
        <w:rPr>
          <w:sz w:val="19"/>
          <w:szCs w:val="19"/>
        </w:rPr>
        <w:t>Electric</w:t>
      </w:r>
      <w:r w:rsidRPr="00E03E0A">
        <w:rPr>
          <w:sz w:val="19"/>
          <w:szCs w:val="19"/>
        </w:rPr>
        <w:t>.</w:t>
      </w:r>
    </w:p>
    <w:bookmarkEnd w:id="0"/>
    <w:p w:rsidR="002D0F94" w:rsidRPr="00E03E0A" w:rsidRDefault="002D0F94" w:rsidP="00284900">
      <w:pPr>
        <w:spacing w:after="60" w:line="240" w:lineRule="auto"/>
        <w:jc w:val="both"/>
        <w:rPr>
          <w:sz w:val="18"/>
          <w:szCs w:val="18"/>
        </w:rPr>
      </w:pPr>
    </w:p>
    <w:p w:rsidR="001A2F96" w:rsidRPr="002D0F94" w:rsidRDefault="001A2F96" w:rsidP="001A2F96">
      <w:pPr>
        <w:spacing w:after="60" w:line="240" w:lineRule="auto"/>
        <w:jc w:val="both"/>
        <w:rPr>
          <w:b/>
          <w:lang w:val="ru-RU"/>
        </w:rPr>
      </w:pPr>
      <w:r>
        <w:rPr>
          <w:b/>
          <w:lang w:val="ru-RU"/>
        </w:rPr>
        <w:t>Валюты</w:t>
      </w:r>
    </w:p>
    <w:p w:rsidR="00E3418E" w:rsidRPr="0093706A" w:rsidRDefault="00E3418E" w:rsidP="00E3418E">
      <w:pPr>
        <w:spacing w:before="120" w:after="120"/>
        <w:jc w:val="both"/>
        <w:rPr>
          <w:sz w:val="19"/>
          <w:szCs w:val="19"/>
          <w:lang w:val="ru-RU"/>
        </w:rPr>
      </w:pPr>
      <w:bookmarkStart w:id="1" w:name="b4"/>
    </w:p>
    <w:bookmarkEnd w:id="1"/>
    <w:p w:rsidR="00AB33B6" w:rsidRDefault="00D10ECD" w:rsidP="00284900">
      <w:pPr>
        <w:spacing w:after="60" w:line="240" w:lineRule="auto"/>
        <w:jc w:val="both"/>
        <w:rPr>
          <w:sz w:val="18"/>
          <w:szCs w:val="18"/>
          <w:lang w:val="ru-RU"/>
        </w:rPr>
      </w:pPr>
      <w:r w:rsidRPr="00D10ECD">
        <w:rPr>
          <w:szCs w:val="18"/>
        </w:rPr>
        <w:drawing>
          <wp:inline distT="0" distB="0" distL="0" distR="0">
            <wp:extent cx="5000625" cy="24193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6D9" w:rsidRPr="006036D9" w:rsidRDefault="006036D9" w:rsidP="006036D9">
      <w:pPr>
        <w:spacing w:before="120" w:after="120"/>
        <w:jc w:val="both"/>
        <w:rPr>
          <w:sz w:val="19"/>
          <w:szCs w:val="19"/>
          <w:lang w:val="ru-RU"/>
        </w:rPr>
      </w:pPr>
      <w:bookmarkStart w:id="2" w:name="b5"/>
    </w:p>
    <w:bookmarkEnd w:id="2"/>
    <w:p w:rsidR="001A2F96" w:rsidRDefault="001A2F96" w:rsidP="00284900">
      <w:pPr>
        <w:spacing w:after="60" w:line="240" w:lineRule="auto"/>
        <w:jc w:val="both"/>
        <w:rPr>
          <w:sz w:val="18"/>
          <w:szCs w:val="18"/>
          <w:lang w:val="ru-RU"/>
        </w:rPr>
      </w:pPr>
    </w:p>
    <w:p w:rsidR="006036D9" w:rsidRPr="00D10ECD" w:rsidRDefault="001A2F96" w:rsidP="00D10ECD">
      <w:pPr>
        <w:spacing w:after="60" w:line="240" w:lineRule="auto"/>
        <w:rPr>
          <w:b/>
          <w:lang w:val="ru-RU"/>
        </w:rPr>
      </w:pPr>
      <w:r w:rsidRPr="001A2F96">
        <w:rPr>
          <w:b/>
          <w:lang w:val="ru-RU"/>
        </w:rPr>
        <w:lastRenderedPageBreak/>
        <w:t>Товары</w:t>
      </w:r>
      <w:bookmarkStart w:id="3" w:name="b10"/>
    </w:p>
    <w:bookmarkEnd w:id="3"/>
    <w:p w:rsidR="001A2F96" w:rsidRDefault="00D10ECD" w:rsidP="00284900">
      <w:pPr>
        <w:spacing w:after="60" w:line="240" w:lineRule="auto"/>
        <w:jc w:val="both"/>
        <w:rPr>
          <w:sz w:val="18"/>
          <w:szCs w:val="18"/>
          <w:lang w:val="ru-RU"/>
        </w:rPr>
      </w:pPr>
      <w:r w:rsidRPr="00D10ECD">
        <w:rPr>
          <w:szCs w:val="18"/>
        </w:rPr>
        <w:drawing>
          <wp:inline distT="0" distB="0" distL="0" distR="0">
            <wp:extent cx="5000625" cy="3162300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F96" w:rsidRDefault="001A2F96" w:rsidP="00284900">
      <w:pPr>
        <w:spacing w:after="60" w:line="240" w:lineRule="auto"/>
        <w:jc w:val="both"/>
        <w:rPr>
          <w:sz w:val="18"/>
          <w:szCs w:val="18"/>
          <w:lang w:val="ru-RU"/>
        </w:rPr>
      </w:pPr>
    </w:p>
    <w:p w:rsidR="001A2F96" w:rsidRPr="00B77A12" w:rsidRDefault="001A2F96" w:rsidP="00284900">
      <w:pPr>
        <w:spacing w:after="60" w:line="240" w:lineRule="auto"/>
        <w:jc w:val="both"/>
        <w:rPr>
          <w:b/>
          <w:lang w:val="ru-RU"/>
        </w:rPr>
      </w:pPr>
      <w:r w:rsidRPr="00B77A12">
        <w:rPr>
          <w:b/>
          <w:lang w:val="ru-RU"/>
        </w:rPr>
        <w:t xml:space="preserve">Фондовые рынки, </w:t>
      </w:r>
      <w:proofErr w:type="spellStart"/>
      <w:r w:rsidRPr="00B77A12">
        <w:rPr>
          <w:b/>
          <w:lang w:val="ru-RU"/>
        </w:rPr>
        <w:t>волатильность</w:t>
      </w:r>
      <w:proofErr w:type="spellEnd"/>
    </w:p>
    <w:p w:rsidR="006036D9" w:rsidRPr="006036D9" w:rsidRDefault="006036D9" w:rsidP="006036D9">
      <w:pPr>
        <w:spacing w:after="0"/>
        <w:jc w:val="both"/>
        <w:rPr>
          <w:sz w:val="19"/>
          <w:szCs w:val="19"/>
          <w:lang w:val="ru-RU"/>
        </w:rPr>
      </w:pPr>
      <w:bookmarkStart w:id="4" w:name="b14"/>
    </w:p>
    <w:bookmarkEnd w:id="4"/>
    <w:p w:rsidR="001A2F96" w:rsidRDefault="00D10ECD" w:rsidP="00284900">
      <w:pPr>
        <w:spacing w:after="60" w:line="240" w:lineRule="auto"/>
        <w:jc w:val="both"/>
        <w:rPr>
          <w:sz w:val="18"/>
          <w:szCs w:val="18"/>
          <w:lang w:val="ru-RU"/>
        </w:rPr>
      </w:pPr>
      <w:r w:rsidRPr="00D10ECD">
        <w:rPr>
          <w:szCs w:val="18"/>
        </w:rPr>
        <w:drawing>
          <wp:inline distT="0" distB="0" distL="0" distR="0">
            <wp:extent cx="5000625" cy="4029075"/>
            <wp:effectExtent l="19050" t="0" r="952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7CD" w:rsidRPr="002E07CD" w:rsidRDefault="002E07CD" w:rsidP="002E07CD">
      <w:pPr>
        <w:spacing w:before="120" w:after="120"/>
        <w:jc w:val="both"/>
        <w:rPr>
          <w:sz w:val="19"/>
          <w:szCs w:val="19"/>
          <w:lang w:val="ru-RU"/>
        </w:rPr>
      </w:pPr>
      <w:bookmarkStart w:id="5" w:name="b16"/>
      <w:r w:rsidRPr="002E07CD">
        <w:rPr>
          <w:sz w:val="19"/>
          <w:szCs w:val="19"/>
          <w:lang w:val="ru-RU"/>
        </w:rPr>
        <w:t>На российском рынке акций прошлая неделя началась со снижения котировок на сугубо негати</w:t>
      </w:r>
      <w:r w:rsidRPr="002E07CD">
        <w:rPr>
          <w:sz w:val="19"/>
          <w:szCs w:val="19"/>
          <w:lang w:val="ru-RU"/>
        </w:rPr>
        <w:t>в</w:t>
      </w:r>
      <w:r w:rsidRPr="002E07CD">
        <w:rPr>
          <w:sz w:val="19"/>
          <w:szCs w:val="19"/>
          <w:lang w:val="ru-RU"/>
        </w:rPr>
        <w:t>ном внешнем фоне, и во вторник индекс ММВБ тестировал зону поддержки 1690 – 1700 пунктов, однако сумел удержаться выше нее и в оставшуюся часть недели, несмотря на насыщенный нов</w:t>
      </w:r>
      <w:r w:rsidRPr="002E07CD">
        <w:rPr>
          <w:sz w:val="19"/>
          <w:szCs w:val="19"/>
          <w:lang w:val="ru-RU"/>
        </w:rPr>
        <w:t>о</w:t>
      </w:r>
      <w:r w:rsidRPr="002E07CD">
        <w:rPr>
          <w:sz w:val="19"/>
          <w:szCs w:val="19"/>
          <w:lang w:val="ru-RU"/>
        </w:rPr>
        <w:t xml:space="preserve">стной фон, двигался в довольно узком диапазоне 1700 – 1720 пунктов. Пятничное закрытие на отметке  1714,60 пунктов зафиксировало недельное снижение индекса на 0,58 % - меньше, чем у большинства внешних рынков за тот же период (индекс </w:t>
      </w:r>
      <w:r w:rsidRPr="002E07CD">
        <w:rPr>
          <w:sz w:val="19"/>
          <w:szCs w:val="19"/>
        </w:rPr>
        <w:t>MSCI</w:t>
      </w:r>
      <w:r w:rsidRPr="002E07CD">
        <w:rPr>
          <w:sz w:val="19"/>
          <w:szCs w:val="19"/>
          <w:lang w:val="ru-RU"/>
        </w:rPr>
        <w:t xml:space="preserve"> </w:t>
      </w:r>
      <w:r w:rsidRPr="002E07CD">
        <w:rPr>
          <w:sz w:val="19"/>
          <w:szCs w:val="19"/>
        </w:rPr>
        <w:t>Russia</w:t>
      </w:r>
      <w:r w:rsidRPr="002E07CD">
        <w:rPr>
          <w:sz w:val="19"/>
          <w:szCs w:val="19"/>
          <w:lang w:val="ru-RU"/>
        </w:rPr>
        <w:t xml:space="preserve"> потерял -1,17 %, в то время как </w:t>
      </w:r>
      <w:r w:rsidRPr="002E07CD">
        <w:rPr>
          <w:sz w:val="19"/>
          <w:szCs w:val="19"/>
        </w:rPr>
        <w:t>MSCI</w:t>
      </w:r>
      <w:r w:rsidRPr="002E07CD">
        <w:rPr>
          <w:sz w:val="19"/>
          <w:szCs w:val="19"/>
          <w:lang w:val="ru-RU"/>
        </w:rPr>
        <w:t xml:space="preserve"> </w:t>
      </w:r>
      <w:r w:rsidRPr="002E07CD">
        <w:rPr>
          <w:sz w:val="19"/>
          <w:szCs w:val="19"/>
        </w:rPr>
        <w:t>World</w:t>
      </w:r>
      <w:r w:rsidRPr="002E07CD">
        <w:rPr>
          <w:sz w:val="19"/>
          <w:szCs w:val="19"/>
          <w:lang w:val="ru-RU"/>
        </w:rPr>
        <w:t xml:space="preserve"> -2,23 %, а </w:t>
      </w:r>
      <w:r w:rsidRPr="002E07CD">
        <w:rPr>
          <w:sz w:val="19"/>
          <w:szCs w:val="19"/>
        </w:rPr>
        <w:t>MSCI</w:t>
      </w:r>
      <w:r w:rsidRPr="002E07CD">
        <w:rPr>
          <w:sz w:val="19"/>
          <w:szCs w:val="19"/>
          <w:lang w:val="ru-RU"/>
        </w:rPr>
        <w:t xml:space="preserve"> </w:t>
      </w:r>
      <w:r w:rsidRPr="002E07CD">
        <w:rPr>
          <w:sz w:val="19"/>
          <w:szCs w:val="19"/>
        </w:rPr>
        <w:t>EM</w:t>
      </w:r>
      <w:r w:rsidRPr="002E07CD">
        <w:rPr>
          <w:sz w:val="19"/>
          <w:szCs w:val="19"/>
          <w:lang w:val="ru-RU"/>
        </w:rPr>
        <w:t xml:space="preserve"> -2,43 %).</w:t>
      </w:r>
    </w:p>
    <w:p w:rsidR="002E07CD" w:rsidRPr="002E07CD" w:rsidRDefault="002E07CD" w:rsidP="002E07CD">
      <w:pPr>
        <w:spacing w:before="120" w:after="120"/>
        <w:jc w:val="both"/>
        <w:rPr>
          <w:sz w:val="19"/>
          <w:szCs w:val="19"/>
          <w:lang w:val="ru-RU"/>
        </w:rPr>
      </w:pPr>
      <w:r w:rsidRPr="002E07CD">
        <w:rPr>
          <w:sz w:val="19"/>
          <w:szCs w:val="19"/>
          <w:lang w:val="ru-RU"/>
        </w:rPr>
        <w:t>В отраслевом разрезе лучше рынка выглядел финансовый сектор во главе с акциями ВТБ (+2,42 %), которые поддержала некоторая стабилизация ситуации вокруг Банка Москвы (+10,92 %). В «пл</w:t>
      </w:r>
      <w:r w:rsidRPr="002E07CD">
        <w:rPr>
          <w:sz w:val="19"/>
          <w:szCs w:val="19"/>
          <w:lang w:val="ru-RU"/>
        </w:rPr>
        <w:t>ю</w:t>
      </w:r>
      <w:r w:rsidRPr="002E07CD">
        <w:rPr>
          <w:sz w:val="19"/>
          <w:szCs w:val="19"/>
          <w:lang w:val="ru-RU"/>
        </w:rPr>
        <w:lastRenderedPageBreak/>
        <w:t xml:space="preserve">се» по итогам недели и акции Сбербанка (+0,18 % </w:t>
      </w:r>
      <w:proofErr w:type="spellStart"/>
      <w:r w:rsidRPr="002E07CD">
        <w:rPr>
          <w:sz w:val="19"/>
          <w:szCs w:val="19"/>
          <w:lang w:val="ru-RU"/>
        </w:rPr>
        <w:t>обычка</w:t>
      </w:r>
      <w:proofErr w:type="spellEnd"/>
      <w:r w:rsidRPr="002E07CD">
        <w:rPr>
          <w:sz w:val="19"/>
          <w:szCs w:val="19"/>
          <w:lang w:val="ru-RU"/>
        </w:rPr>
        <w:t xml:space="preserve">, +1,24 % </w:t>
      </w:r>
      <w:proofErr w:type="spellStart"/>
      <w:r w:rsidRPr="002E07CD">
        <w:rPr>
          <w:sz w:val="19"/>
          <w:szCs w:val="19"/>
          <w:lang w:val="ru-RU"/>
        </w:rPr>
        <w:t>префы</w:t>
      </w:r>
      <w:proofErr w:type="spellEnd"/>
      <w:r w:rsidRPr="002E07CD">
        <w:rPr>
          <w:sz w:val="19"/>
          <w:szCs w:val="19"/>
          <w:lang w:val="ru-RU"/>
        </w:rPr>
        <w:t>). Второй лидер – хим</w:t>
      </w:r>
      <w:r w:rsidRPr="002E07CD">
        <w:rPr>
          <w:sz w:val="19"/>
          <w:szCs w:val="19"/>
          <w:lang w:val="ru-RU"/>
        </w:rPr>
        <w:t>и</w:t>
      </w:r>
      <w:r w:rsidRPr="002E07CD">
        <w:rPr>
          <w:sz w:val="19"/>
          <w:szCs w:val="19"/>
          <w:lang w:val="ru-RU"/>
        </w:rPr>
        <w:t xml:space="preserve">ческая промышленность во главе с акциями </w:t>
      </w:r>
      <w:proofErr w:type="spellStart"/>
      <w:r w:rsidRPr="002E07CD">
        <w:rPr>
          <w:sz w:val="19"/>
          <w:szCs w:val="19"/>
          <w:lang w:val="ru-RU"/>
        </w:rPr>
        <w:t>Уралкалия</w:t>
      </w:r>
      <w:proofErr w:type="spellEnd"/>
      <w:r w:rsidRPr="002E07CD">
        <w:rPr>
          <w:sz w:val="19"/>
          <w:szCs w:val="19"/>
          <w:lang w:val="ru-RU"/>
        </w:rPr>
        <w:t xml:space="preserve"> (+3,5 %). Благодаря росту котировок на драгметаллы их производители (</w:t>
      </w:r>
      <w:proofErr w:type="spellStart"/>
      <w:r w:rsidRPr="002E07CD">
        <w:rPr>
          <w:sz w:val="19"/>
          <w:szCs w:val="19"/>
          <w:lang w:val="ru-RU"/>
        </w:rPr>
        <w:t>ПолюсЗолото</w:t>
      </w:r>
      <w:proofErr w:type="spellEnd"/>
      <w:r w:rsidRPr="002E07CD">
        <w:rPr>
          <w:sz w:val="19"/>
          <w:szCs w:val="19"/>
          <w:lang w:val="ru-RU"/>
        </w:rPr>
        <w:t xml:space="preserve"> +0,03 %, Полиметалл +8,18 %) выглядели в среднем лучше черных металлургов (Северсталь -1,2 %, НЛМК -2,1 %, ММК +0,02 %). В нефтегазовом сект</w:t>
      </w:r>
      <w:r w:rsidRPr="002E07CD">
        <w:rPr>
          <w:sz w:val="19"/>
          <w:szCs w:val="19"/>
          <w:lang w:val="ru-RU"/>
        </w:rPr>
        <w:t>о</w:t>
      </w:r>
      <w:r w:rsidRPr="002E07CD">
        <w:rPr>
          <w:sz w:val="19"/>
          <w:szCs w:val="19"/>
          <w:lang w:val="ru-RU"/>
        </w:rPr>
        <w:t>ре динамика преимущественно негативная (Газпром -1,87 %, Роснефть -2,15 %), исключением ст</w:t>
      </w:r>
      <w:r w:rsidRPr="002E07CD">
        <w:rPr>
          <w:sz w:val="19"/>
          <w:szCs w:val="19"/>
          <w:lang w:val="ru-RU"/>
        </w:rPr>
        <w:t>а</w:t>
      </w:r>
      <w:r w:rsidRPr="002E07CD">
        <w:rPr>
          <w:sz w:val="19"/>
          <w:szCs w:val="19"/>
          <w:lang w:val="ru-RU"/>
        </w:rPr>
        <w:t xml:space="preserve">ли акции </w:t>
      </w:r>
      <w:proofErr w:type="spellStart"/>
      <w:r w:rsidRPr="002E07CD">
        <w:rPr>
          <w:sz w:val="19"/>
          <w:szCs w:val="19"/>
          <w:lang w:val="ru-RU"/>
        </w:rPr>
        <w:t>Лукойла</w:t>
      </w:r>
      <w:proofErr w:type="spellEnd"/>
      <w:r w:rsidRPr="002E07CD">
        <w:rPr>
          <w:sz w:val="19"/>
          <w:szCs w:val="19"/>
          <w:lang w:val="ru-RU"/>
        </w:rPr>
        <w:t xml:space="preserve"> (+0,6 %) и </w:t>
      </w:r>
      <w:proofErr w:type="spellStart"/>
      <w:r w:rsidRPr="002E07CD">
        <w:rPr>
          <w:sz w:val="19"/>
          <w:szCs w:val="19"/>
          <w:lang w:val="ru-RU"/>
        </w:rPr>
        <w:t>Газпромнефти</w:t>
      </w:r>
      <w:proofErr w:type="spellEnd"/>
      <w:r w:rsidRPr="002E07CD">
        <w:rPr>
          <w:sz w:val="19"/>
          <w:szCs w:val="19"/>
          <w:lang w:val="ru-RU"/>
        </w:rPr>
        <w:t xml:space="preserve"> (+2,07 %). В аутсайдерах на этот раз – электроэнергет</w:t>
      </w:r>
      <w:r w:rsidRPr="002E07CD">
        <w:rPr>
          <w:sz w:val="19"/>
          <w:szCs w:val="19"/>
          <w:lang w:val="ru-RU"/>
        </w:rPr>
        <w:t>и</w:t>
      </w:r>
      <w:r w:rsidRPr="002E07CD">
        <w:rPr>
          <w:sz w:val="19"/>
          <w:szCs w:val="19"/>
          <w:lang w:val="ru-RU"/>
        </w:rPr>
        <w:t xml:space="preserve">ка, особенно </w:t>
      </w:r>
      <w:proofErr w:type="gramStart"/>
      <w:r w:rsidRPr="002E07CD">
        <w:rPr>
          <w:sz w:val="19"/>
          <w:szCs w:val="19"/>
          <w:lang w:val="ru-RU"/>
        </w:rPr>
        <w:t>менее ликвидные</w:t>
      </w:r>
      <w:proofErr w:type="gramEnd"/>
      <w:r w:rsidRPr="002E07CD">
        <w:rPr>
          <w:sz w:val="19"/>
          <w:szCs w:val="19"/>
          <w:lang w:val="ru-RU"/>
        </w:rPr>
        <w:t xml:space="preserve"> бумаги сектора.</w:t>
      </w:r>
    </w:p>
    <w:p w:rsidR="00D11237" w:rsidRPr="00D11237" w:rsidRDefault="002E07CD" w:rsidP="002E07CD">
      <w:pPr>
        <w:spacing w:before="120" w:after="120"/>
        <w:jc w:val="both"/>
        <w:rPr>
          <w:sz w:val="19"/>
          <w:szCs w:val="19"/>
          <w:lang w:val="ru-RU"/>
        </w:rPr>
      </w:pPr>
      <w:r w:rsidRPr="002E07CD">
        <w:rPr>
          <w:sz w:val="19"/>
          <w:szCs w:val="19"/>
          <w:lang w:val="ru-RU"/>
        </w:rPr>
        <w:t>В понедельник индекс ММВБ снова тестирует уровень поддержки в районе 1700 пунктов на фоне довлеющей над инвесторами неопределенности с потолком госдолга США. Ближайшие цели вн</w:t>
      </w:r>
      <w:r w:rsidRPr="002E07CD">
        <w:rPr>
          <w:sz w:val="19"/>
          <w:szCs w:val="19"/>
          <w:lang w:val="ru-RU"/>
        </w:rPr>
        <w:t>и</w:t>
      </w:r>
      <w:r w:rsidRPr="002E07CD">
        <w:rPr>
          <w:sz w:val="19"/>
          <w:szCs w:val="19"/>
          <w:lang w:val="ru-RU"/>
        </w:rPr>
        <w:t>з</w:t>
      </w:r>
      <w:r w:rsidR="00E03E0A">
        <w:rPr>
          <w:sz w:val="19"/>
          <w:szCs w:val="19"/>
          <w:lang w:val="ru-RU"/>
        </w:rPr>
        <w:t>у</w:t>
      </w:r>
      <w:r w:rsidRPr="002E07CD">
        <w:rPr>
          <w:sz w:val="19"/>
          <w:szCs w:val="19"/>
          <w:lang w:val="ru-RU"/>
        </w:rPr>
        <w:t xml:space="preserve"> – минимум прошлой недели в районе 1685 пунктов, дальше – 1670 и 1650 пунктов. Впрочем, следует учитывать, что </w:t>
      </w:r>
      <w:r>
        <w:rPr>
          <w:sz w:val="19"/>
          <w:szCs w:val="19"/>
          <w:lang w:val="ru-RU"/>
        </w:rPr>
        <w:t xml:space="preserve">эта неопределенность уже заложена в ценах, и в этой ситуации </w:t>
      </w:r>
      <w:r w:rsidRPr="002E07CD">
        <w:rPr>
          <w:sz w:val="19"/>
          <w:szCs w:val="19"/>
          <w:lang w:val="ru-RU"/>
        </w:rPr>
        <w:t>достиж</w:t>
      </w:r>
      <w:r w:rsidRPr="002E07CD">
        <w:rPr>
          <w:sz w:val="19"/>
          <w:szCs w:val="19"/>
          <w:lang w:val="ru-RU"/>
        </w:rPr>
        <w:t>е</w:t>
      </w:r>
      <w:r w:rsidRPr="002E07CD">
        <w:rPr>
          <w:sz w:val="19"/>
          <w:szCs w:val="19"/>
          <w:lang w:val="ru-RU"/>
        </w:rPr>
        <w:t xml:space="preserve">ние компромисса по лимиту госдолга между администрацией </w:t>
      </w:r>
      <w:proofErr w:type="spellStart"/>
      <w:r w:rsidRPr="002E07CD">
        <w:rPr>
          <w:sz w:val="19"/>
          <w:szCs w:val="19"/>
          <w:lang w:val="ru-RU"/>
        </w:rPr>
        <w:t>Б.Обамы</w:t>
      </w:r>
      <w:proofErr w:type="spellEnd"/>
      <w:r w:rsidRPr="002E07CD">
        <w:rPr>
          <w:sz w:val="19"/>
          <w:szCs w:val="19"/>
          <w:lang w:val="ru-RU"/>
        </w:rPr>
        <w:t xml:space="preserve"> и Конгрессом – не смотря на свою </w:t>
      </w:r>
      <w:proofErr w:type="spellStart"/>
      <w:r w:rsidRPr="002E07CD">
        <w:rPr>
          <w:sz w:val="19"/>
          <w:szCs w:val="19"/>
          <w:lang w:val="ru-RU"/>
        </w:rPr>
        <w:t>ожидаемость</w:t>
      </w:r>
      <w:proofErr w:type="spellEnd"/>
      <w:r w:rsidRPr="002E07CD">
        <w:rPr>
          <w:sz w:val="19"/>
          <w:szCs w:val="19"/>
          <w:lang w:val="ru-RU"/>
        </w:rPr>
        <w:t xml:space="preserve"> – может стать с</w:t>
      </w:r>
      <w:r w:rsidRPr="002E07CD">
        <w:rPr>
          <w:sz w:val="19"/>
          <w:szCs w:val="19"/>
          <w:lang w:val="ru-RU"/>
        </w:rPr>
        <w:t>у</w:t>
      </w:r>
      <w:r w:rsidRPr="002E07CD">
        <w:rPr>
          <w:sz w:val="19"/>
          <w:szCs w:val="19"/>
          <w:lang w:val="ru-RU"/>
        </w:rPr>
        <w:t>щественным позитивным драйвером</w:t>
      </w:r>
      <w:r>
        <w:rPr>
          <w:sz w:val="19"/>
          <w:szCs w:val="19"/>
          <w:lang w:val="ru-RU"/>
        </w:rPr>
        <w:t xml:space="preserve">, изменив сценарий на попытку нового похода </w:t>
      </w:r>
      <w:r w:rsidR="00E03E0A">
        <w:rPr>
          <w:sz w:val="19"/>
          <w:szCs w:val="19"/>
          <w:lang w:val="ru-RU"/>
        </w:rPr>
        <w:t xml:space="preserve">рынка акций </w:t>
      </w:r>
      <w:r>
        <w:rPr>
          <w:sz w:val="19"/>
          <w:szCs w:val="19"/>
          <w:lang w:val="ru-RU"/>
        </w:rPr>
        <w:t>к недавним локальным максимумам</w:t>
      </w:r>
      <w:r w:rsidRPr="002E07CD">
        <w:rPr>
          <w:sz w:val="19"/>
          <w:szCs w:val="19"/>
          <w:lang w:val="ru-RU"/>
        </w:rPr>
        <w:t>.</w:t>
      </w:r>
    </w:p>
    <w:bookmarkEnd w:id="5"/>
    <w:p w:rsidR="002D0F94" w:rsidRDefault="002D0F94" w:rsidP="00E3418E">
      <w:pPr>
        <w:spacing w:after="60" w:line="240" w:lineRule="auto"/>
        <w:jc w:val="both"/>
        <w:rPr>
          <w:sz w:val="18"/>
          <w:szCs w:val="18"/>
          <w:lang w:val="ru-RU"/>
        </w:rPr>
      </w:pPr>
    </w:p>
    <w:p w:rsidR="00610CB0" w:rsidRPr="00B83971" w:rsidRDefault="00610CB0" w:rsidP="00BA5BA2">
      <w:pPr>
        <w:spacing w:after="0"/>
        <w:rPr>
          <w:sz w:val="18"/>
          <w:szCs w:val="18"/>
          <w:lang w:val="ru-RU"/>
        </w:rPr>
      </w:pPr>
      <w:bookmarkStart w:id="6" w:name="EconCal"/>
    </w:p>
    <w:bookmarkEnd w:id="6"/>
    <w:p w:rsidR="001342F8" w:rsidRPr="001A2F96" w:rsidRDefault="001342F8" w:rsidP="00B50787">
      <w:pPr>
        <w:spacing w:after="60" w:line="240" w:lineRule="auto"/>
        <w:jc w:val="both"/>
        <w:rPr>
          <w:noProof/>
          <w:lang w:val="ru-RU" w:eastAsia="ru-RU"/>
        </w:rPr>
      </w:pPr>
    </w:p>
    <w:p w:rsidR="00AB765C" w:rsidRPr="009D5F7D" w:rsidRDefault="00AB765C" w:rsidP="00B50787">
      <w:pPr>
        <w:spacing w:after="60" w:line="240" w:lineRule="auto"/>
        <w:jc w:val="both"/>
        <w:rPr>
          <w:noProof/>
          <w:lang w:val="ru-RU" w:eastAsia="ru-RU"/>
        </w:rPr>
        <w:sectPr w:rsidR="00AB765C" w:rsidRPr="009D5F7D" w:rsidSect="00B57FC1">
          <w:headerReference w:type="default" r:id="rId12"/>
          <w:footerReference w:type="default" r:id="rId13"/>
          <w:headerReference w:type="first" r:id="rId14"/>
          <w:pgSz w:w="11906" w:h="16838"/>
          <w:pgMar w:top="709" w:right="282" w:bottom="709" w:left="3544" w:header="284" w:footer="244" w:gutter="0"/>
          <w:pgNumType w:start="1"/>
          <w:cols w:space="708"/>
          <w:titlePg/>
          <w:docGrid w:linePitch="360"/>
        </w:sectPr>
      </w:pPr>
    </w:p>
    <w:p w:rsidR="004E66B9" w:rsidRPr="005736D4" w:rsidRDefault="00D10ECD" w:rsidP="00BC1E16">
      <w:pPr>
        <w:tabs>
          <w:tab w:val="left" w:pos="7088"/>
          <w:tab w:val="left" w:pos="8505"/>
        </w:tabs>
        <w:spacing w:after="0" w:line="240" w:lineRule="auto"/>
        <w:rPr>
          <w:rFonts w:ascii="MetaBookCyrLF-Roman" w:hAnsi="MetaBookCyrLF-Roman"/>
          <w:noProof/>
          <w:sz w:val="18"/>
          <w:szCs w:val="18"/>
          <w:lang w:val="ru-RU" w:eastAsia="ru-RU"/>
        </w:rPr>
      </w:pPr>
      <w:r w:rsidRPr="00D10ECD">
        <w:rPr>
          <w:rFonts w:ascii="MetaBookCyrLF-Roman" w:hAnsi="MetaBookCyrLF-Roman"/>
          <w:noProof/>
          <w:sz w:val="18"/>
          <w:szCs w:val="18"/>
          <w:lang w:val="ru-RU" w:eastAsia="ru-RU"/>
        </w:rPr>
        <w:lastRenderedPageBreak/>
        <w:drawing>
          <wp:inline distT="0" distB="0" distL="0" distR="0">
            <wp:extent cx="7199630" cy="9696970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696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66B9" w:rsidRPr="005736D4" w:rsidSect="0019156B">
      <w:headerReference w:type="first" r:id="rId16"/>
      <w:pgSz w:w="11906" w:h="16838"/>
      <w:pgMar w:top="709" w:right="284" w:bottom="709" w:left="284" w:header="284" w:footer="242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6AB" w:rsidRDefault="00C556AB" w:rsidP="00D546FC">
      <w:pPr>
        <w:spacing w:after="0" w:line="240" w:lineRule="auto"/>
      </w:pPr>
      <w:r>
        <w:separator/>
      </w:r>
    </w:p>
  </w:endnote>
  <w:endnote w:type="continuationSeparator" w:id="0">
    <w:p w:rsidR="00C556AB" w:rsidRDefault="00C556AB" w:rsidP="00D5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etaBookCyrLF-Roman">
    <w:panose1 w:val="02000506040000020004"/>
    <w:charset w:val="CC"/>
    <w:family w:val="auto"/>
    <w:pitch w:val="variable"/>
    <w:sig w:usb0="800002AF" w:usb1="1000004A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FC1" w:rsidRPr="00FD3C21" w:rsidRDefault="00B57FC1" w:rsidP="00FD3C21">
    <w:pPr>
      <w:pStyle w:val="a7"/>
      <w:tabs>
        <w:tab w:val="left" w:pos="10490"/>
      </w:tabs>
      <w:ind w:left="-3261"/>
      <w:rPr>
        <w:color w:val="6E6F72"/>
        <w:sz w:val="20"/>
        <w:szCs w:val="20"/>
      </w:rPr>
    </w:pPr>
    <w:r w:rsidRPr="00FD3C21">
      <w:rPr>
        <w:color w:val="6E6F72"/>
        <w:sz w:val="20"/>
        <w:szCs w:val="20"/>
      </w:rPr>
      <w:t xml:space="preserve">research@bfa.ru  </w:t>
    </w:r>
    <w:r w:rsidR="00FD3C21">
      <w:rPr>
        <w:color w:val="6E6F72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                                                      </w:t>
    </w:r>
    <w:proofErr w:type="spellStart"/>
    <w:r w:rsidRPr="00FD3C21">
      <w:rPr>
        <w:color w:val="6E6F72"/>
        <w:sz w:val="20"/>
        <w:szCs w:val="20"/>
      </w:rPr>
      <w:t>стр</w:t>
    </w:r>
    <w:proofErr w:type="spellEnd"/>
    <w:r w:rsidRPr="00FD3C21">
      <w:rPr>
        <w:color w:val="6E6F72"/>
        <w:sz w:val="20"/>
        <w:szCs w:val="20"/>
      </w:rPr>
      <w:t xml:space="preserve"> </w:t>
    </w:r>
    <w:r w:rsidR="00117591" w:rsidRPr="00FD3C21">
      <w:rPr>
        <w:color w:val="6E6F72"/>
        <w:sz w:val="20"/>
        <w:szCs w:val="20"/>
      </w:rPr>
      <w:fldChar w:fldCharType="begin"/>
    </w:r>
    <w:r w:rsidRPr="00FD3C21">
      <w:rPr>
        <w:color w:val="6E6F72"/>
        <w:sz w:val="20"/>
        <w:szCs w:val="20"/>
      </w:rPr>
      <w:instrText xml:space="preserve"> PAGE   \* MERGEFORMAT </w:instrText>
    </w:r>
    <w:r w:rsidR="00117591" w:rsidRPr="00FD3C21">
      <w:rPr>
        <w:color w:val="6E6F72"/>
        <w:sz w:val="20"/>
        <w:szCs w:val="20"/>
      </w:rPr>
      <w:fldChar w:fldCharType="separate"/>
    </w:r>
    <w:r w:rsidR="00E03E0A">
      <w:rPr>
        <w:noProof/>
        <w:color w:val="6E6F72"/>
        <w:sz w:val="20"/>
        <w:szCs w:val="20"/>
      </w:rPr>
      <w:t>2</w:t>
    </w:r>
    <w:r w:rsidR="00117591" w:rsidRPr="00FD3C21">
      <w:rPr>
        <w:color w:val="6E6F72"/>
        <w:sz w:val="20"/>
        <w:szCs w:val="20"/>
      </w:rPr>
      <w:fldChar w:fldCharType="end"/>
    </w:r>
    <w:r w:rsidRPr="00FD3C21">
      <w:rPr>
        <w:color w:val="6E6F72"/>
        <w:sz w:val="20"/>
        <w:szCs w:val="20"/>
      </w:rPr>
      <w:t xml:space="preserve"> </w:t>
    </w:r>
    <w:proofErr w:type="spellStart"/>
    <w:r w:rsidRPr="00FD3C21">
      <w:rPr>
        <w:color w:val="6E6F72"/>
        <w:sz w:val="20"/>
        <w:szCs w:val="20"/>
      </w:rPr>
      <w:t>из</w:t>
    </w:r>
    <w:proofErr w:type="spellEnd"/>
    <w:r w:rsidRPr="00FD3C21">
      <w:rPr>
        <w:color w:val="6E6F72"/>
        <w:sz w:val="20"/>
        <w:szCs w:val="20"/>
      </w:rPr>
      <w:t xml:space="preserve"> </w:t>
    </w:r>
    <w:fldSimple w:instr=" NUMPAGES   \* MERGEFORMAT ">
      <w:r w:rsidR="00E03E0A" w:rsidRPr="00E03E0A">
        <w:rPr>
          <w:noProof/>
          <w:color w:val="6E6F72"/>
          <w:sz w:val="20"/>
          <w:szCs w:val="20"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6AB" w:rsidRDefault="00C556AB" w:rsidP="00D546FC">
      <w:pPr>
        <w:spacing w:after="0" w:line="240" w:lineRule="auto"/>
      </w:pPr>
      <w:r>
        <w:separator/>
      </w:r>
    </w:p>
  </w:footnote>
  <w:footnote w:type="continuationSeparator" w:id="0">
    <w:p w:rsidR="00C556AB" w:rsidRDefault="00C556AB" w:rsidP="00D5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300" w:type="dxa"/>
      <w:tblLook w:val="04A0"/>
    </w:tblPr>
    <w:tblGrid>
      <w:gridCol w:w="1318"/>
      <w:gridCol w:w="10230"/>
    </w:tblGrid>
    <w:tr w:rsidR="00B57FC1" w:rsidRPr="002E07CD" w:rsidTr="004A3054">
      <w:trPr>
        <w:trHeight w:val="175"/>
      </w:trPr>
      <w:tc>
        <w:tcPr>
          <w:tcW w:w="1318" w:type="dxa"/>
        </w:tcPr>
        <w:p w:rsidR="00B57FC1" w:rsidRPr="004A3054" w:rsidRDefault="00117591" w:rsidP="004A3054">
          <w:pPr>
            <w:pStyle w:val="a5"/>
            <w:tabs>
              <w:tab w:val="clear" w:pos="4677"/>
              <w:tab w:val="clear" w:pos="9355"/>
            </w:tabs>
            <w:rPr>
              <w:color w:val="6E6F72"/>
              <w:sz w:val="20"/>
              <w:szCs w:val="20"/>
            </w:rPr>
          </w:pPr>
          <w:r w:rsidRPr="004A3054">
            <w:rPr>
              <w:color w:val="6E6F72"/>
              <w:sz w:val="20"/>
              <w:szCs w:val="20"/>
              <w:lang w:val="ru-RU"/>
            </w:rPr>
            <w:fldChar w:fldCharType="begin"/>
          </w:r>
          <w:r w:rsidR="00B57FC1" w:rsidRPr="004A3054">
            <w:rPr>
              <w:color w:val="6E6F72"/>
              <w:sz w:val="20"/>
              <w:szCs w:val="20"/>
              <w:lang w:val="ru-RU"/>
            </w:rPr>
            <w:instrText xml:space="preserve"> DATE  \@ "DD.MM.YYYY"  \* MERGEFORMAT </w:instrText>
          </w:r>
          <w:r w:rsidRPr="004A3054">
            <w:rPr>
              <w:color w:val="6E6F72"/>
              <w:sz w:val="20"/>
              <w:szCs w:val="20"/>
              <w:lang w:val="ru-RU"/>
            </w:rPr>
            <w:fldChar w:fldCharType="separate"/>
          </w:r>
          <w:r w:rsidR="002E07CD">
            <w:rPr>
              <w:noProof/>
              <w:color w:val="6E6F72"/>
              <w:sz w:val="20"/>
              <w:szCs w:val="20"/>
              <w:lang w:val="ru-RU"/>
            </w:rPr>
            <w:t>18.07.2011</w:t>
          </w:r>
          <w:r w:rsidRPr="004A3054">
            <w:rPr>
              <w:color w:val="6E6F72"/>
              <w:sz w:val="20"/>
              <w:szCs w:val="20"/>
              <w:lang w:val="ru-RU"/>
            </w:rPr>
            <w:fldChar w:fldCharType="end"/>
          </w:r>
        </w:p>
      </w:tc>
      <w:tc>
        <w:tcPr>
          <w:tcW w:w="10230" w:type="dxa"/>
        </w:tcPr>
        <w:p w:rsidR="00B57FC1" w:rsidRPr="004A3054" w:rsidRDefault="00117591" w:rsidP="00E03E0A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6E6F72"/>
              <w:sz w:val="20"/>
              <w:szCs w:val="20"/>
              <w:lang w:val="ru-RU"/>
            </w:rPr>
          </w:pPr>
          <w:r w:rsidRPr="004A3054">
            <w:rPr>
              <w:color w:val="6E6F72"/>
              <w:sz w:val="20"/>
              <w:szCs w:val="20"/>
              <w:lang w:val="ru-RU"/>
            </w:rPr>
            <w:fldChar w:fldCharType="begin"/>
          </w:r>
          <w:r w:rsidR="00B57FC1" w:rsidRPr="004A3054">
            <w:rPr>
              <w:color w:val="6E6F72"/>
              <w:sz w:val="20"/>
              <w:szCs w:val="20"/>
              <w:lang w:val="ru-RU"/>
            </w:rPr>
            <w:instrText xml:space="preserve"> MACROBUTTON Week </w:instrText>
          </w:r>
          <w:r w:rsidRPr="004A3054">
            <w:rPr>
              <w:color w:val="6E6F72"/>
              <w:sz w:val="20"/>
              <w:szCs w:val="20"/>
              <w:lang w:val="ru-RU"/>
            </w:rPr>
            <w:fldChar w:fldCharType="end"/>
          </w:r>
          <w:r w:rsidRPr="004A3054">
            <w:rPr>
              <w:color w:val="6E6F72"/>
              <w:sz w:val="20"/>
              <w:szCs w:val="20"/>
              <w:lang w:val="ru-RU"/>
            </w:rPr>
            <w:fldChar w:fldCharType="begin"/>
          </w:r>
          <w:r w:rsidR="00B57FC1" w:rsidRPr="004A3054">
            <w:rPr>
              <w:color w:val="6E6F72"/>
              <w:sz w:val="20"/>
              <w:szCs w:val="20"/>
              <w:lang w:val="ru-RU"/>
            </w:rPr>
            <w:instrText xml:space="preserve"> MACROBUTTON  AcceptAllChangesInDoc </w:instrText>
          </w:r>
          <w:r w:rsidRPr="004A3054">
            <w:rPr>
              <w:color w:val="6E6F72"/>
              <w:sz w:val="20"/>
              <w:szCs w:val="20"/>
              <w:lang w:val="ru-RU"/>
            </w:rPr>
            <w:fldChar w:fldCharType="end"/>
          </w:r>
          <w:r w:rsidRPr="004A3054">
            <w:rPr>
              <w:color w:val="6E6F72"/>
              <w:sz w:val="20"/>
              <w:szCs w:val="20"/>
              <w:lang w:val="ru-RU"/>
            </w:rPr>
            <w:fldChar w:fldCharType="begin"/>
          </w:r>
          <w:r w:rsidR="00B57FC1" w:rsidRPr="004A3054">
            <w:rPr>
              <w:color w:val="6E6F72"/>
              <w:sz w:val="20"/>
              <w:szCs w:val="20"/>
              <w:lang w:val="ru-RU"/>
            </w:rPr>
            <w:instrText xml:space="preserve"> MACROBUTTON  Week </w:instrText>
          </w:r>
          <w:r w:rsidRPr="004A3054">
            <w:rPr>
              <w:color w:val="6E6F72"/>
              <w:sz w:val="20"/>
              <w:szCs w:val="20"/>
              <w:lang w:val="ru-RU"/>
            </w:rPr>
            <w:fldChar w:fldCharType="end"/>
          </w:r>
          <w:bookmarkStart w:id="7" w:name="Header"/>
          <w:bookmarkEnd w:id="7"/>
          <w:r w:rsidR="006036D9">
            <w:rPr>
              <w:color w:val="6E6F72"/>
              <w:sz w:val="20"/>
              <w:szCs w:val="20"/>
              <w:lang w:val="ru-RU"/>
            </w:rPr>
            <w:t>Глобальные рынки: индексы и индикаторы - неделя 11 - 17 июля</w:t>
          </w:r>
        </w:p>
      </w:tc>
    </w:tr>
  </w:tbl>
  <w:p w:rsidR="00B57FC1" w:rsidRPr="00BC41AD" w:rsidRDefault="00B57FC1" w:rsidP="00BC41AD">
    <w:pPr>
      <w:pStyle w:val="a5"/>
      <w:tabs>
        <w:tab w:val="clear" w:pos="4677"/>
        <w:tab w:val="center" w:pos="4962"/>
        <w:tab w:val="left" w:pos="11338"/>
      </w:tabs>
      <w:rPr>
        <w:color w:val="6E6F72"/>
        <w:sz w:val="20"/>
        <w:szCs w:val="20"/>
        <w:lang w:val="ru-RU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FC1" w:rsidRPr="002A1923" w:rsidRDefault="00FB1C49" w:rsidP="006D5B9E">
    <w:pPr>
      <w:pStyle w:val="a5"/>
      <w:tabs>
        <w:tab w:val="clear" w:pos="9355"/>
        <w:tab w:val="left" w:pos="3402"/>
        <w:tab w:val="right" w:pos="11340"/>
      </w:tabs>
      <w:ind w:left="85" w:hanging="3346"/>
      <w:jc w:val="both"/>
      <w:rPr>
        <w:lang w:val="ru-RU"/>
      </w:rPr>
    </w:pPr>
    <w:r>
      <w:rPr>
        <w:noProof/>
        <w:lang w:val="ru-RU" w:eastAsia="ru-RU" w:bidi="ar-SA"/>
      </w:rPr>
      <w:drawing>
        <wp:inline distT="0" distB="0" distL="0" distR="0">
          <wp:extent cx="7200900" cy="819150"/>
          <wp:effectExtent l="19050" t="0" r="0" b="0"/>
          <wp:docPr id="1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FC1" w:rsidRDefault="00B57FC1" w:rsidP="00D546F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07676"/>
    <w:multiLevelType w:val="hybridMultilevel"/>
    <w:tmpl w:val="B5983ECE"/>
    <w:lvl w:ilvl="0" w:tplc="E86AAF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6A6A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A7304"/>
    <w:multiLevelType w:val="hybridMultilevel"/>
    <w:tmpl w:val="57B631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4154D"/>
    <w:multiLevelType w:val="hybridMultilevel"/>
    <w:tmpl w:val="E1C4C38A"/>
    <w:lvl w:ilvl="0" w:tplc="07D4CF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E6F7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8F1D67"/>
    <w:multiLevelType w:val="hybridMultilevel"/>
    <w:tmpl w:val="B2563030"/>
    <w:lvl w:ilvl="0" w:tplc="07D4CF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E6F7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/>
  <w:rsids>
    <w:rsidRoot w:val="000E3080"/>
    <w:rsid w:val="00001967"/>
    <w:rsid w:val="00001D35"/>
    <w:rsid w:val="00005E02"/>
    <w:rsid w:val="0001380A"/>
    <w:rsid w:val="00016A79"/>
    <w:rsid w:val="00036D61"/>
    <w:rsid w:val="00040CC0"/>
    <w:rsid w:val="00043586"/>
    <w:rsid w:val="00052F78"/>
    <w:rsid w:val="00053CCB"/>
    <w:rsid w:val="000540A6"/>
    <w:rsid w:val="00067F18"/>
    <w:rsid w:val="00067F8A"/>
    <w:rsid w:val="00090D28"/>
    <w:rsid w:val="000A08C3"/>
    <w:rsid w:val="000A30C3"/>
    <w:rsid w:val="000B60A5"/>
    <w:rsid w:val="000C0683"/>
    <w:rsid w:val="000C2116"/>
    <w:rsid w:val="000C3B95"/>
    <w:rsid w:val="000E02BC"/>
    <w:rsid w:val="000E3080"/>
    <w:rsid w:val="000E6D7E"/>
    <w:rsid w:val="001019E9"/>
    <w:rsid w:val="00105902"/>
    <w:rsid w:val="00106615"/>
    <w:rsid w:val="00117591"/>
    <w:rsid w:val="001342F8"/>
    <w:rsid w:val="00154AD6"/>
    <w:rsid w:val="00160E60"/>
    <w:rsid w:val="001909F0"/>
    <w:rsid w:val="0019156B"/>
    <w:rsid w:val="001A2F96"/>
    <w:rsid w:val="001A655A"/>
    <w:rsid w:val="001C1F65"/>
    <w:rsid w:val="001C3CDD"/>
    <w:rsid w:val="001D4149"/>
    <w:rsid w:val="001E6A8C"/>
    <w:rsid w:val="002431E8"/>
    <w:rsid w:val="00246771"/>
    <w:rsid w:val="002729A3"/>
    <w:rsid w:val="00284900"/>
    <w:rsid w:val="00295F27"/>
    <w:rsid w:val="002A0352"/>
    <w:rsid w:val="002A1923"/>
    <w:rsid w:val="002A21B6"/>
    <w:rsid w:val="002A468E"/>
    <w:rsid w:val="002C6F74"/>
    <w:rsid w:val="002D0F94"/>
    <w:rsid w:val="002D7733"/>
    <w:rsid w:val="002E07CD"/>
    <w:rsid w:val="002F1C38"/>
    <w:rsid w:val="002F43E4"/>
    <w:rsid w:val="002F54A5"/>
    <w:rsid w:val="002F749F"/>
    <w:rsid w:val="00306838"/>
    <w:rsid w:val="00314A2C"/>
    <w:rsid w:val="003206DD"/>
    <w:rsid w:val="00324CCA"/>
    <w:rsid w:val="00331585"/>
    <w:rsid w:val="00342401"/>
    <w:rsid w:val="00361358"/>
    <w:rsid w:val="00366E32"/>
    <w:rsid w:val="00375785"/>
    <w:rsid w:val="00383D77"/>
    <w:rsid w:val="00384D5C"/>
    <w:rsid w:val="003A0DE1"/>
    <w:rsid w:val="003C3650"/>
    <w:rsid w:val="003C4708"/>
    <w:rsid w:val="003C6D41"/>
    <w:rsid w:val="003D2283"/>
    <w:rsid w:val="003E0E0B"/>
    <w:rsid w:val="003E4399"/>
    <w:rsid w:val="003F07F3"/>
    <w:rsid w:val="00427404"/>
    <w:rsid w:val="004330BB"/>
    <w:rsid w:val="0043380C"/>
    <w:rsid w:val="00435099"/>
    <w:rsid w:val="00435A92"/>
    <w:rsid w:val="00444135"/>
    <w:rsid w:val="004510C5"/>
    <w:rsid w:val="0045178C"/>
    <w:rsid w:val="00455668"/>
    <w:rsid w:val="004607DB"/>
    <w:rsid w:val="0046520A"/>
    <w:rsid w:val="00470A99"/>
    <w:rsid w:val="004849A8"/>
    <w:rsid w:val="004866F7"/>
    <w:rsid w:val="004950F9"/>
    <w:rsid w:val="0049512E"/>
    <w:rsid w:val="004A3054"/>
    <w:rsid w:val="004A3F12"/>
    <w:rsid w:val="004B6A8F"/>
    <w:rsid w:val="004C4CAC"/>
    <w:rsid w:val="004C5E0E"/>
    <w:rsid w:val="004D6D93"/>
    <w:rsid w:val="004E2609"/>
    <w:rsid w:val="004E66B9"/>
    <w:rsid w:val="0051726F"/>
    <w:rsid w:val="005533BD"/>
    <w:rsid w:val="00567539"/>
    <w:rsid w:val="005736D4"/>
    <w:rsid w:val="00585824"/>
    <w:rsid w:val="005A01BD"/>
    <w:rsid w:val="005A3A64"/>
    <w:rsid w:val="005C3637"/>
    <w:rsid w:val="006036D9"/>
    <w:rsid w:val="00604484"/>
    <w:rsid w:val="00605E82"/>
    <w:rsid w:val="00606E71"/>
    <w:rsid w:val="00610CB0"/>
    <w:rsid w:val="006260B8"/>
    <w:rsid w:val="006412DE"/>
    <w:rsid w:val="00647715"/>
    <w:rsid w:val="00651244"/>
    <w:rsid w:val="00673935"/>
    <w:rsid w:val="006809B4"/>
    <w:rsid w:val="006A2470"/>
    <w:rsid w:val="006A7BBD"/>
    <w:rsid w:val="006B4638"/>
    <w:rsid w:val="006D0136"/>
    <w:rsid w:val="006D44F4"/>
    <w:rsid w:val="006D5B9E"/>
    <w:rsid w:val="006F0E5C"/>
    <w:rsid w:val="00704814"/>
    <w:rsid w:val="00724FCB"/>
    <w:rsid w:val="0072676C"/>
    <w:rsid w:val="00732F02"/>
    <w:rsid w:val="00733BCA"/>
    <w:rsid w:val="00737875"/>
    <w:rsid w:val="00753574"/>
    <w:rsid w:val="0077167A"/>
    <w:rsid w:val="007A543C"/>
    <w:rsid w:val="007A6B5B"/>
    <w:rsid w:val="007B65B7"/>
    <w:rsid w:val="007B6E2D"/>
    <w:rsid w:val="007C5C9A"/>
    <w:rsid w:val="007E4F0C"/>
    <w:rsid w:val="007F097B"/>
    <w:rsid w:val="007F710C"/>
    <w:rsid w:val="0080532D"/>
    <w:rsid w:val="00821194"/>
    <w:rsid w:val="00827B93"/>
    <w:rsid w:val="0083796A"/>
    <w:rsid w:val="0086057D"/>
    <w:rsid w:val="00886914"/>
    <w:rsid w:val="00886C65"/>
    <w:rsid w:val="008A2257"/>
    <w:rsid w:val="008B677E"/>
    <w:rsid w:val="008C32F7"/>
    <w:rsid w:val="008D2039"/>
    <w:rsid w:val="008E77CB"/>
    <w:rsid w:val="008F53AC"/>
    <w:rsid w:val="00905CEA"/>
    <w:rsid w:val="00912973"/>
    <w:rsid w:val="0091443E"/>
    <w:rsid w:val="009153BE"/>
    <w:rsid w:val="009203EF"/>
    <w:rsid w:val="0092608D"/>
    <w:rsid w:val="009320D1"/>
    <w:rsid w:val="0093706A"/>
    <w:rsid w:val="00950808"/>
    <w:rsid w:val="0095573F"/>
    <w:rsid w:val="009567E0"/>
    <w:rsid w:val="00956B90"/>
    <w:rsid w:val="0097066D"/>
    <w:rsid w:val="00974F02"/>
    <w:rsid w:val="00975B08"/>
    <w:rsid w:val="00981D96"/>
    <w:rsid w:val="0099156F"/>
    <w:rsid w:val="009A2F9D"/>
    <w:rsid w:val="009B0876"/>
    <w:rsid w:val="009B35FA"/>
    <w:rsid w:val="009C61A0"/>
    <w:rsid w:val="009D5F7D"/>
    <w:rsid w:val="009F4250"/>
    <w:rsid w:val="00A5060F"/>
    <w:rsid w:val="00A510F1"/>
    <w:rsid w:val="00A53DEE"/>
    <w:rsid w:val="00A6008A"/>
    <w:rsid w:val="00A707B6"/>
    <w:rsid w:val="00A76F75"/>
    <w:rsid w:val="00A827AA"/>
    <w:rsid w:val="00A86FC8"/>
    <w:rsid w:val="00A92A28"/>
    <w:rsid w:val="00A97010"/>
    <w:rsid w:val="00AA5369"/>
    <w:rsid w:val="00AA7EFE"/>
    <w:rsid w:val="00AB2CCB"/>
    <w:rsid w:val="00AB33B6"/>
    <w:rsid w:val="00AB765C"/>
    <w:rsid w:val="00AC41D3"/>
    <w:rsid w:val="00AD12E7"/>
    <w:rsid w:val="00AD2266"/>
    <w:rsid w:val="00AE6627"/>
    <w:rsid w:val="00AF60DF"/>
    <w:rsid w:val="00B01374"/>
    <w:rsid w:val="00B02542"/>
    <w:rsid w:val="00B15302"/>
    <w:rsid w:val="00B16688"/>
    <w:rsid w:val="00B22DB6"/>
    <w:rsid w:val="00B26AB1"/>
    <w:rsid w:val="00B41299"/>
    <w:rsid w:val="00B503DE"/>
    <w:rsid w:val="00B50787"/>
    <w:rsid w:val="00B57FC1"/>
    <w:rsid w:val="00B71996"/>
    <w:rsid w:val="00B77A12"/>
    <w:rsid w:val="00B80AFE"/>
    <w:rsid w:val="00B83971"/>
    <w:rsid w:val="00BA5BA2"/>
    <w:rsid w:val="00BB5826"/>
    <w:rsid w:val="00BC1E16"/>
    <w:rsid w:val="00BC41AD"/>
    <w:rsid w:val="00BC42CC"/>
    <w:rsid w:val="00BE7EE3"/>
    <w:rsid w:val="00BF3EF5"/>
    <w:rsid w:val="00BF4429"/>
    <w:rsid w:val="00C210C7"/>
    <w:rsid w:val="00C228EF"/>
    <w:rsid w:val="00C363BD"/>
    <w:rsid w:val="00C428F6"/>
    <w:rsid w:val="00C52A14"/>
    <w:rsid w:val="00C53541"/>
    <w:rsid w:val="00C556AB"/>
    <w:rsid w:val="00C60404"/>
    <w:rsid w:val="00C607A8"/>
    <w:rsid w:val="00C71199"/>
    <w:rsid w:val="00C847B4"/>
    <w:rsid w:val="00C851E0"/>
    <w:rsid w:val="00C858B8"/>
    <w:rsid w:val="00CA72E1"/>
    <w:rsid w:val="00CB6A62"/>
    <w:rsid w:val="00CC568F"/>
    <w:rsid w:val="00CD05D8"/>
    <w:rsid w:val="00CD1C18"/>
    <w:rsid w:val="00CF3886"/>
    <w:rsid w:val="00CF48B6"/>
    <w:rsid w:val="00D01EC6"/>
    <w:rsid w:val="00D10E0B"/>
    <w:rsid w:val="00D10ECD"/>
    <w:rsid w:val="00D11237"/>
    <w:rsid w:val="00D175FA"/>
    <w:rsid w:val="00D17CFD"/>
    <w:rsid w:val="00D20490"/>
    <w:rsid w:val="00D20ABE"/>
    <w:rsid w:val="00D3094F"/>
    <w:rsid w:val="00D34593"/>
    <w:rsid w:val="00D351BB"/>
    <w:rsid w:val="00D43189"/>
    <w:rsid w:val="00D51CFB"/>
    <w:rsid w:val="00D546FC"/>
    <w:rsid w:val="00D60B91"/>
    <w:rsid w:val="00D6276D"/>
    <w:rsid w:val="00D6683E"/>
    <w:rsid w:val="00D674BF"/>
    <w:rsid w:val="00D7359C"/>
    <w:rsid w:val="00D73B5C"/>
    <w:rsid w:val="00D871BE"/>
    <w:rsid w:val="00D87727"/>
    <w:rsid w:val="00D90EB2"/>
    <w:rsid w:val="00D9732F"/>
    <w:rsid w:val="00DA63C7"/>
    <w:rsid w:val="00DB5861"/>
    <w:rsid w:val="00DB697C"/>
    <w:rsid w:val="00DC369E"/>
    <w:rsid w:val="00DD160B"/>
    <w:rsid w:val="00DD5699"/>
    <w:rsid w:val="00DE6780"/>
    <w:rsid w:val="00DF6E43"/>
    <w:rsid w:val="00E03E0A"/>
    <w:rsid w:val="00E052DC"/>
    <w:rsid w:val="00E06D5B"/>
    <w:rsid w:val="00E13F19"/>
    <w:rsid w:val="00E1643D"/>
    <w:rsid w:val="00E3418E"/>
    <w:rsid w:val="00E47C45"/>
    <w:rsid w:val="00E53818"/>
    <w:rsid w:val="00E54890"/>
    <w:rsid w:val="00E70268"/>
    <w:rsid w:val="00E7587A"/>
    <w:rsid w:val="00E770DB"/>
    <w:rsid w:val="00E8565B"/>
    <w:rsid w:val="00E86F53"/>
    <w:rsid w:val="00E96720"/>
    <w:rsid w:val="00EB43E6"/>
    <w:rsid w:val="00EB5CD0"/>
    <w:rsid w:val="00EC5F44"/>
    <w:rsid w:val="00ED3CE2"/>
    <w:rsid w:val="00EE2109"/>
    <w:rsid w:val="00EE3206"/>
    <w:rsid w:val="00EE3FEC"/>
    <w:rsid w:val="00EE5A19"/>
    <w:rsid w:val="00EF4896"/>
    <w:rsid w:val="00EF71C9"/>
    <w:rsid w:val="00F2592F"/>
    <w:rsid w:val="00F34504"/>
    <w:rsid w:val="00F40E80"/>
    <w:rsid w:val="00F56316"/>
    <w:rsid w:val="00F66571"/>
    <w:rsid w:val="00F76C38"/>
    <w:rsid w:val="00F84B41"/>
    <w:rsid w:val="00F8550D"/>
    <w:rsid w:val="00FB1C49"/>
    <w:rsid w:val="00FC6715"/>
    <w:rsid w:val="00FC785E"/>
    <w:rsid w:val="00FD25B9"/>
    <w:rsid w:val="00FD3C21"/>
    <w:rsid w:val="00FD46B8"/>
    <w:rsid w:val="00FE5191"/>
    <w:rsid w:val="00FE5B5A"/>
    <w:rsid w:val="00FF3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  <o:rules v:ext="edit">
        <o:r id="V:Rule3" type="connector" idref="#_x0000_s1158"/>
        <o:r id="V:Rule4" type="connector" idref="#_x0000_s1026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43D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E1643D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43D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43D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43D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43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43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43D"/>
    <w:pPr>
      <w:spacing w:after="0"/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43D"/>
    <w:pPr>
      <w:spacing w:after="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43D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66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5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46FC"/>
  </w:style>
  <w:style w:type="paragraph" w:styleId="a7">
    <w:name w:val="footer"/>
    <w:basedOn w:val="a"/>
    <w:link w:val="a8"/>
    <w:uiPriority w:val="99"/>
    <w:unhideWhenUsed/>
    <w:rsid w:val="00D5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46FC"/>
  </w:style>
  <w:style w:type="character" w:styleId="a9">
    <w:name w:val="Hyperlink"/>
    <w:basedOn w:val="a0"/>
    <w:uiPriority w:val="99"/>
    <w:unhideWhenUsed/>
    <w:rsid w:val="004E66B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164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1643D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1643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1643D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1643D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1643D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"/>
    <w:semiHidden/>
    <w:rsid w:val="00E1643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"/>
    <w:semiHidden/>
    <w:rsid w:val="00E1643D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1643D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1643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b">
    <w:name w:val="Title"/>
    <w:basedOn w:val="a"/>
    <w:next w:val="a"/>
    <w:link w:val="ac"/>
    <w:uiPriority w:val="10"/>
    <w:qFormat/>
    <w:rsid w:val="00E1643D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E1643D"/>
    <w:rPr>
      <w:rFonts w:ascii="Cambria" w:eastAsia="Times New Roman" w:hAnsi="Cambria" w:cs="Times New Roman"/>
      <w:spacing w:val="5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sid w:val="00E1643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E1643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f">
    <w:name w:val="Strong"/>
    <w:uiPriority w:val="22"/>
    <w:qFormat/>
    <w:rsid w:val="00E1643D"/>
    <w:rPr>
      <w:b/>
      <w:bCs/>
    </w:rPr>
  </w:style>
  <w:style w:type="character" w:styleId="af0">
    <w:name w:val="Emphasis"/>
    <w:uiPriority w:val="20"/>
    <w:qFormat/>
    <w:rsid w:val="00E1643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1">
    <w:name w:val="No Spacing"/>
    <w:basedOn w:val="a"/>
    <w:uiPriority w:val="1"/>
    <w:qFormat/>
    <w:rsid w:val="00E1643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1643D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1643D"/>
    <w:rPr>
      <w:i/>
      <w:iCs/>
    </w:rPr>
  </w:style>
  <w:style w:type="paragraph" w:styleId="af2">
    <w:name w:val="Intense Quote"/>
    <w:basedOn w:val="a"/>
    <w:next w:val="a"/>
    <w:link w:val="af3"/>
    <w:uiPriority w:val="30"/>
    <w:qFormat/>
    <w:rsid w:val="00E1643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3">
    <w:name w:val="Выделенная цитата Знак"/>
    <w:basedOn w:val="a0"/>
    <w:link w:val="af2"/>
    <w:uiPriority w:val="30"/>
    <w:rsid w:val="00E1643D"/>
    <w:rPr>
      <w:b/>
      <w:bCs/>
      <w:i/>
      <w:iCs/>
    </w:rPr>
  </w:style>
  <w:style w:type="character" w:styleId="af4">
    <w:name w:val="Subtle Emphasis"/>
    <w:uiPriority w:val="19"/>
    <w:qFormat/>
    <w:rsid w:val="00E1643D"/>
    <w:rPr>
      <w:i/>
      <w:iCs/>
    </w:rPr>
  </w:style>
  <w:style w:type="character" w:styleId="af5">
    <w:name w:val="Intense Emphasis"/>
    <w:uiPriority w:val="21"/>
    <w:qFormat/>
    <w:rsid w:val="00E1643D"/>
    <w:rPr>
      <w:b/>
      <w:bCs/>
    </w:rPr>
  </w:style>
  <w:style w:type="character" w:styleId="af6">
    <w:name w:val="Subtle Reference"/>
    <w:uiPriority w:val="31"/>
    <w:qFormat/>
    <w:rsid w:val="00E1643D"/>
    <w:rPr>
      <w:smallCaps/>
    </w:rPr>
  </w:style>
  <w:style w:type="character" w:styleId="af7">
    <w:name w:val="Intense Reference"/>
    <w:uiPriority w:val="32"/>
    <w:qFormat/>
    <w:rsid w:val="00E1643D"/>
    <w:rPr>
      <w:smallCaps/>
      <w:spacing w:val="5"/>
      <w:u w:val="single"/>
    </w:rPr>
  </w:style>
  <w:style w:type="character" w:styleId="af8">
    <w:name w:val="Book Title"/>
    <w:uiPriority w:val="33"/>
    <w:qFormat/>
    <w:rsid w:val="00E1643D"/>
    <w:rPr>
      <w:i/>
      <w:iCs/>
      <w:smallCaps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E1643D"/>
    <w:pPr>
      <w:outlineLvl w:val="9"/>
    </w:pPr>
  </w:style>
  <w:style w:type="table" w:styleId="afa">
    <w:name w:val="Table Grid"/>
    <w:basedOn w:val="a1"/>
    <w:uiPriority w:val="59"/>
    <w:rsid w:val="00BC41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@bfa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8353D-E9A2-4537-A625-EE3BB2376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bfa</Company>
  <LinksUpToDate>false</LinksUpToDate>
  <CharactersWithSpaces>4391</CharactersWithSpaces>
  <SharedDoc>false</SharedDoc>
  <HLinks>
    <vt:vector size="84" baseType="variant">
      <vt:variant>
        <vt:i4>6553616</vt:i4>
      </vt:variant>
      <vt:variant>
        <vt:i4>36</vt:i4>
      </vt:variant>
      <vt:variant>
        <vt:i4>0</vt:i4>
      </vt:variant>
      <vt:variant>
        <vt:i4>5</vt:i4>
      </vt:variant>
      <vt:variant>
        <vt:lpwstr>mailto:a.misharev@bfa.ru</vt:lpwstr>
      </vt:variant>
      <vt:variant>
        <vt:lpwstr/>
      </vt:variant>
      <vt:variant>
        <vt:i4>6422542</vt:i4>
      </vt:variant>
      <vt:variant>
        <vt:i4>33</vt:i4>
      </vt:variant>
      <vt:variant>
        <vt:i4>0</vt:i4>
      </vt:variant>
      <vt:variant>
        <vt:i4>5</vt:i4>
      </vt:variant>
      <vt:variant>
        <vt:lpwstr>mailto:p.shevtsov@bfa.ru</vt:lpwstr>
      </vt:variant>
      <vt:variant>
        <vt:lpwstr/>
      </vt:variant>
      <vt:variant>
        <vt:i4>6553627</vt:i4>
      </vt:variant>
      <vt:variant>
        <vt:i4>30</vt:i4>
      </vt:variant>
      <vt:variant>
        <vt:i4>0</vt:i4>
      </vt:variant>
      <vt:variant>
        <vt:i4>5</vt:i4>
      </vt:variant>
      <vt:variant>
        <vt:lpwstr>mailto:e.schekina@bfa.ru</vt:lpwstr>
      </vt:variant>
      <vt:variant>
        <vt:lpwstr/>
      </vt:variant>
      <vt:variant>
        <vt:i4>786549</vt:i4>
      </vt:variant>
      <vt:variant>
        <vt:i4>27</vt:i4>
      </vt:variant>
      <vt:variant>
        <vt:i4>0</vt:i4>
      </vt:variant>
      <vt:variant>
        <vt:i4>5</vt:i4>
      </vt:variant>
      <vt:variant>
        <vt:lpwstr>mailto:e.kukushkina@bfa.ru</vt:lpwstr>
      </vt:variant>
      <vt:variant>
        <vt:lpwstr/>
      </vt:variant>
      <vt:variant>
        <vt:i4>1900669</vt:i4>
      </vt:variant>
      <vt:variant>
        <vt:i4>24</vt:i4>
      </vt:variant>
      <vt:variant>
        <vt:i4>0</vt:i4>
      </vt:variant>
      <vt:variant>
        <vt:i4>5</vt:i4>
      </vt:variant>
      <vt:variant>
        <vt:lpwstr>mailto:v.konstantinova@bfa.ru</vt:lpwstr>
      </vt:variant>
      <vt:variant>
        <vt:lpwstr/>
      </vt:variant>
      <vt:variant>
        <vt:i4>8060998</vt:i4>
      </vt:variant>
      <vt:variant>
        <vt:i4>21</vt:i4>
      </vt:variant>
      <vt:variant>
        <vt:i4>0</vt:i4>
      </vt:variant>
      <vt:variant>
        <vt:i4>5</vt:i4>
      </vt:variant>
      <vt:variant>
        <vt:lpwstr>mailto:client@bfa.ru</vt:lpwstr>
      </vt:variant>
      <vt:variant>
        <vt:lpwstr/>
      </vt:variant>
      <vt:variant>
        <vt:i4>458873</vt:i4>
      </vt:variant>
      <vt:variant>
        <vt:i4>18</vt:i4>
      </vt:variant>
      <vt:variant>
        <vt:i4>0</vt:i4>
      </vt:variant>
      <vt:variant>
        <vt:i4>5</vt:i4>
      </vt:variant>
      <vt:variant>
        <vt:lpwstr>mailto:m.zheleznyak@bfa.ru</vt:lpwstr>
      </vt:variant>
      <vt:variant>
        <vt:lpwstr/>
      </vt:variant>
      <vt:variant>
        <vt:i4>1704061</vt:i4>
      </vt:variant>
      <vt:variant>
        <vt:i4>15</vt:i4>
      </vt:variant>
      <vt:variant>
        <vt:i4>0</vt:i4>
      </vt:variant>
      <vt:variant>
        <vt:i4>5</vt:i4>
      </vt:variant>
      <vt:variant>
        <vt:lpwstr>mailto:s.kazantsev@bfa.ru</vt:lpwstr>
      </vt:variant>
      <vt:variant>
        <vt:lpwstr/>
      </vt:variant>
      <vt:variant>
        <vt:i4>1048693</vt:i4>
      </vt:variant>
      <vt:variant>
        <vt:i4>12</vt:i4>
      </vt:variant>
      <vt:variant>
        <vt:i4>0</vt:i4>
      </vt:variant>
      <vt:variant>
        <vt:i4>5</vt:i4>
      </vt:variant>
      <vt:variant>
        <vt:lpwstr>mailto:m.mikryukova@bfa.ru</vt:lpwstr>
      </vt:variant>
      <vt:variant>
        <vt:lpwstr/>
      </vt:variant>
      <vt:variant>
        <vt:i4>6619157</vt:i4>
      </vt:variant>
      <vt:variant>
        <vt:i4>9</vt:i4>
      </vt:variant>
      <vt:variant>
        <vt:i4>0</vt:i4>
      </vt:variant>
      <vt:variant>
        <vt:i4>5</vt:i4>
      </vt:variant>
      <vt:variant>
        <vt:lpwstr>mailto:a.moiseev@bfa.ru</vt:lpwstr>
      </vt:variant>
      <vt:variant>
        <vt:lpwstr/>
      </vt:variant>
      <vt:variant>
        <vt:i4>6750228</vt:i4>
      </vt:variant>
      <vt:variant>
        <vt:i4>6</vt:i4>
      </vt:variant>
      <vt:variant>
        <vt:i4>0</vt:i4>
      </vt:variant>
      <vt:variant>
        <vt:i4>5</vt:i4>
      </vt:variant>
      <vt:variant>
        <vt:lpwstr>mailto:r.dzugaev@bfa.ru</vt:lpwstr>
      </vt:variant>
      <vt:variant>
        <vt:lpwstr/>
      </vt:variant>
      <vt:variant>
        <vt:i4>1048634</vt:i4>
      </vt:variant>
      <vt:variant>
        <vt:i4>3</vt:i4>
      </vt:variant>
      <vt:variant>
        <vt:i4>0</vt:i4>
      </vt:variant>
      <vt:variant>
        <vt:i4>5</vt:i4>
      </vt:variant>
      <vt:variant>
        <vt:lpwstr>mailto:info@bfa.ru</vt:lpwstr>
      </vt:variant>
      <vt:variant>
        <vt:lpwstr/>
      </vt:variant>
      <vt:variant>
        <vt:i4>1835041</vt:i4>
      </vt:variant>
      <vt:variant>
        <vt:i4>0</vt:i4>
      </vt:variant>
      <vt:variant>
        <vt:i4>0</vt:i4>
      </vt:variant>
      <vt:variant>
        <vt:i4>5</vt:i4>
      </vt:variant>
      <vt:variant>
        <vt:lpwstr>mailto:research@bfa.ru</vt:lpwstr>
      </vt:variant>
      <vt:variant>
        <vt:lpwstr/>
      </vt:variant>
      <vt:variant>
        <vt:i4>1835041</vt:i4>
      </vt:variant>
      <vt:variant>
        <vt:i4>3</vt:i4>
      </vt:variant>
      <vt:variant>
        <vt:i4>0</vt:i4>
      </vt:variant>
      <vt:variant>
        <vt:i4>5</vt:i4>
      </vt:variant>
      <vt:variant>
        <vt:lpwstr>mailto:research@bfa.ru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ЗАО "БФА"</dc:creator>
  <cp:keywords/>
  <dc:description/>
  <cp:lastModifiedBy>A.Moiseev</cp:lastModifiedBy>
  <cp:revision>3</cp:revision>
  <cp:lastPrinted>2011-07-18T13:35:00Z</cp:lastPrinted>
  <dcterms:created xsi:type="dcterms:W3CDTF">2011-07-18T13:46:00Z</dcterms:created>
  <dcterms:modified xsi:type="dcterms:W3CDTF">2011-07-18T13:49:00Z</dcterms:modified>
</cp:coreProperties>
</file>