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8F" w:rsidRDefault="00CB008F" w:rsidP="00CB008F">
      <w:pPr>
        <w:spacing w:after="200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Комментарий</w:t>
      </w:r>
    </w:p>
    <w:p w:rsidR="00CB008F" w:rsidRDefault="00CB008F" w:rsidP="00CB008F">
      <w:pPr>
        <w:spacing w:after="200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По глобальным рынкам: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Прошедшая неделя оказалась на удивление спокойной, несмотря на бушующие долговые и рейтинговые бури в Еврозоне и новые «возгорания» в горячих точках – Сирии и Египте. Рынок затаился перед более чем вероятным мощным скачком в ту или иную сторону в зависимости от результатов повторных выборов в греческий парламент, которые станут известны в понедельник. Хотя на рынке в последнее время бытует мнение, что любой из возможных греческих сценариев уже заложен в цены, мы полагаем, что это утверждение справедливо лишь отчасти. Во всяком случае, Британия уже начала «думая о мире, готовиться к войне», спешно обсудив и одобрив в преддверии «греческого Армагеддона» две стимулирующих программы на £80 </w:t>
      </w:r>
      <w:proofErr w:type="spellStart"/>
      <w:proofErr w:type="gramStart"/>
      <w:r>
        <w:rPr>
          <w:rFonts w:ascii="Calibri" w:hAnsi="Calibri"/>
        </w:rPr>
        <w:t>млрд</w:t>
      </w:r>
      <w:proofErr w:type="spellEnd"/>
      <w:proofErr w:type="gramEnd"/>
      <w:r>
        <w:rPr>
          <w:rFonts w:ascii="Calibri" w:hAnsi="Calibri"/>
        </w:rPr>
        <w:t xml:space="preserve">: для бизнеса и домохозяйств и на £5 </w:t>
      </w:r>
      <w:proofErr w:type="spellStart"/>
      <w:r>
        <w:rPr>
          <w:rFonts w:ascii="Calibri" w:hAnsi="Calibri"/>
        </w:rPr>
        <w:t>млрд</w:t>
      </w:r>
      <w:proofErr w:type="spellEnd"/>
      <w:r>
        <w:rPr>
          <w:rFonts w:ascii="Calibri" w:hAnsi="Calibri"/>
        </w:rPr>
        <w:t xml:space="preserve"> в месяц –  для банков. Несмотря на столь драматические предчувствия, американский фондовый рынок к концу недели неожиданно расправил плечи. Поводом для этого стало возвращение сторонников стратегического подхода к </w:t>
      </w:r>
      <w:proofErr w:type="gramStart"/>
      <w:r>
        <w:rPr>
          <w:rFonts w:ascii="Calibri" w:hAnsi="Calibri"/>
        </w:rPr>
        <w:t>американской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макростатистике</w:t>
      </w:r>
      <w:proofErr w:type="spellEnd"/>
      <w:r>
        <w:rPr>
          <w:rFonts w:ascii="Calibri" w:hAnsi="Calibri"/>
        </w:rPr>
        <w:t xml:space="preserve"> – «чем хуже данные, тем лучше для рынка». Статистика неумолимо указывает на </w:t>
      </w:r>
      <w:proofErr w:type="spellStart"/>
      <w:r>
        <w:rPr>
          <w:rFonts w:ascii="Calibri" w:hAnsi="Calibri"/>
        </w:rPr>
        <w:t>рецессионные</w:t>
      </w:r>
      <w:proofErr w:type="spellEnd"/>
      <w:r>
        <w:rPr>
          <w:rFonts w:ascii="Calibri" w:hAnsi="Calibri"/>
        </w:rPr>
        <w:t xml:space="preserve"> тенденции в экономике США, комбинирующиеся с растущей безработицей и прогрессирующей дефляцией – идеальный «комплект» для «принуждения </w:t>
      </w:r>
      <w:proofErr w:type="spellStart"/>
      <w:r>
        <w:rPr>
          <w:rFonts w:ascii="Calibri" w:hAnsi="Calibri"/>
        </w:rPr>
        <w:t>Феда</w:t>
      </w:r>
      <w:proofErr w:type="spellEnd"/>
      <w:r>
        <w:rPr>
          <w:rFonts w:ascii="Calibri" w:hAnsi="Calibri"/>
        </w:rPr>
        <w:t xml:space="preserve"> к стимулированию». Ждать осталось недолго: очередное заседание Комитета по открытым рынкам США пройдёт 19 и 20 июня.</w:t>
      </w:r>
    </w:p>
    <w:p w:rsidR="00CB008F" w:rsidRDefault="00CB008F" w:rsidP="00CB008F">
      <w:pPr>
        <w:spacing w:after="200"/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FF0000"/>
        </w:rPr>
        <w:t>По развивающимся рынкам: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За прошедшую неделю развивающиеся рынки продемонстрировали позитивную динамику.  Китайский </w:t>
      </w:r>
      <w:proofErr w:type="spellStart"/>
      <w:r>
        <w:rPr>
          <w:rFonts w:ascii="Calibri" w:hAnsi="Calibri"/>
        </w:rPr>
        <w:t>Shanghai</w:t>
      </w:r>
      <w:proofErr w:type="spellEnd"/>
      <w:r>
        <w:rPr>
          <w:rFonts w:ascii="Calibri" w:hAnsi="Calibri"/>
        </w:rPr>
        <w:t xml:space="preserve"> прибавил 1.11%, бразильский </w:t>
      </w:r>
      <w:proofErr w:type="spellStart"/>
      <w:r>
        <w:rPr>
          <w:rFonts w:ascii="Calibri" w:hAnsi="Calibri"/>
        </w:rPr>
        <w:t>Bovespa</w:t>
      </w:r>
      <w:proofErr w:type="spellEnd"/>
      <w:r>
        <w:rPr>
          <w:rFonts w:ascii="Calibri" w:hAnsi="Calibri"/>
        </w:rPr>
        <w:t xml:space="preserve"> +2.21%, корейский </w:t>
      </w:r>
      <w:proofErr w:type="spellStart"/>
      <w:r>
        <w:rPr>
          <w:rFonts w:ascii="Calibri" w:hAnsi="Calibri"/>
        </w:rPr>
        <w:t>Kospi</w:t>
      </w:r>
      <w:proofErr w:type="spellEnd"/>
      <w:r>
        <w:rPr>
          <w:rFonts w:ascii="Calibri" w:hAnsi="Calibri"/>
        </w:rPr>
        <w:t xml:space="preserve"> +1.23%. Приток капитала в </w:t>
      </w:r>
      <w:proofErr w:type="spellStart"/>
      <w:r>
        <w:rPr>
          <w:rFonts w:ascii="Calibri" w:hAnsi="Calibri"/>
        </w:rPr>
        <w:t>emerging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markets</w:t>
      </w:r>
      <w:proofErr w:type="spellEnd"/>
      <w:r>
        <w:rPr>
          <w:rFonts w:ascii="Calibri" w:hAnsi="Calibri"/>
        </w:rPr>
        <w:t xml:space="preserve"> чувствуется и на валютных рынках, где большинство валют укрепилось к американскому доллару. В лидерах роста филиппинский песо (+2.56%), исландская крона (+2.05%). В аутсайдерах бразильский реал (-1.55%), колумбийское песо (-0.84%).</w:t>
      </w:r>
    </w:p>
    <w:p w:rsidR="00CB008F" w:rsidRDefault="00CB008F" w:rsidP="00CB008F">
      <w:pPr>
        <w:spacing w:after="200"/>
        <w:rPr>
          <w:rFonts w:ascii="Calibri" w:hAnsi="Calibri"/>
          <w:b/>
          <w:bCs/>
          <w:color w:val="FF0000"/>
        </w:rPr>
      </w:pPr>
      <w:r>
        <w:rPr>
          <w:rFonts w:ascii="Calibri" w:hAnsi="Calibri"/>
          <w:b/>
          <w:bCs/>
          <w:color w:val="FF0000"/>
        </w:rPr>
        <w:t>По сырью: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Несмотря на панические настроения в связи с неопределённостями в еврозоне, сырьевые рынки на истекшей неделе предприняли попытку стабилизации. Решение ОПЕК </w:t>
      </w:r>
      <w:proofErr w:type="gramStart"/>
      <w:r>
        <w:rPr>
          <w:rFonts w:ascii="Calibri" w:hAnsi="Calibri"/>
        </w:rPr>
        <w:t>оставить квоты на экспорт нефти на прежнем уровне было перевешено</w:t>
      </w:r>
      <w:proofErr w:type="gramEnd"/>
      <w:r>
        <w:rPr>
          <w:rFonts w:ascii="Calibri" w:hAnsi="Calibri"/>
        </w:rPr>
        <w:t xml:space="preserve"> американской статистикой по нефтяным запасам, которая неожиданно вскрыла ощутимые снижения по всем трём категориям – сырая нефть, бензины и дистилляты. В результате, котировки </w:t>
      </w:r>
      <w:proofErr w:type="spellStart"/>
      <w:r>
        <w:rPr>
          <w:rFonts w:ascii="Calibri" w:hAnsi="Calibri"/>
        </w:rPr>
        <w:t>Brent</w:t>
      </w:r>
      <w:proofErr w:type="spellEnd"/>
      <w:r>
        <w:rPr>
          <w:rFonts w:ascii="Calibri" w:hAnsi="Calibri"/>
        </w:rPr>
        <w:t>, падавшие в начале недели, полностью компенсировали снижение в четверг и пятницу, а цена сорта WTI даже умудрилась повыситься более чем на 2%.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В секции промышленных металлов медь подросла на 0.6%, никель подвергся экстремальной </w:t>
      </w:r>
      <w:proofErr w:type="spellStart"/>
      <w:r>
        <w:rPr>
          <w:rFonts w:ascii="Calibri" w:hAnsi="Calibri"/>
        </w:rPr>
        <w:t>волатильности</w:t>
      </w:r>
      <w:proofErr w:type="spellEnd"/>
      <w:r>
        <w:rPr>
          <w:rFonts w:ascii="Calibri" w:hAnsi="Calibri"/>
        </w:rPr>
        <w:t xml:space="preserve"> и завершил неделю приблизительно на прежнем уровне, цинк также не претерпел значительных изменений, но олово продолжило мягкое восхождение, прибавив за истекший период те же 0.6%, что и медь. Мы ожидаем, что шансы на продолжение лёгкого восходящего тренда в широком коридоре являются предпочтительными – с поправкой на качество и задаваемый вектор </w:t>
      </w:r>
      <w:proofErr w:type="spellStart"/>
      <w:r>
        <w:rPr>
          <w:rFonts w:ascii="Calibri" w:hAnsi="Calibri"/>
        </w:rPr>
        <w:t>макростатистики</w:t>
      </w:r>
      <w:proofErr w:type="spellEnd"/>
      <w:r>
        <w:rPr>
          <w:rFonts w:ascii="Calibri" w:hAnsi="Calibri"/>
        </w:rPr>
        <w:t xml:space="preserve"> из Китая.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Как нетрудно было предположить, основным сырьевым лидером прошедшей недели оказались драгметаллы, поскольку участники рынков повысили свои ожидания расширения денежной массы как со стороны ЕЦБ, так и, вероятно, ФРС США. В итоге, </w:t>
      </w:r>
      <w:r>
        <w:rPr>
          <w:rFonts w:ascii="Calibri" w:hAnsi="Calibri"/>
        </w:rPr>
        <w:lastRenderedPageBreak/>
        <w:t>фьючерсы на золото и палладий за неделю выросли почти на 2% и сформировали чётко обозначенный восходящий тренд; платина при этом повысилась ещё заметней – на 3%. Мы полагаем, что на следующей неделе положительные тенденции в данном сегменте сохранятся.</w:t>
      </w:r>
    </w:p>
    <w:p w:rsidR="00CB008F" w:rsidRDefault="00CB008F" w:rsidP="00CB008F">
      <w:pPr>
        <w:spacing w:after="200"/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FF0000"/>
        </w:rPr>
        <w:t>По акциям: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Прошедшая неделя на российском рынке была короткой (в связи с празднованием Дня России 12 июня) – всего три торговых сессии. Тем не менее, сильной </w:t>
      </w:r>
      <w:proofErr w:type="gramStart"/>
      <w:r>
        <w:rPr>
          <w:rFonts w:ascii="Calibri" w:hAnsi="Calibri"/>
        </w:rPr>
        <w:t>активности</w:t>
      </w:r>
      <w:proofErr w:type="gramEnd"/>
      <w:r>
        <w:rPr>
          <w:rFonts w:ascii="Calibri" w:hAnsi="Calibri"/>
        </w:rPr>
        <w:t xml:space="preserve"> как на мировых, так и на российском рынке не было. Мы наблюдали </w:t>
      </w:r>
      <w:proofErr w:type="spellStart"/>
      <w:r>
        <w:rPr>
          <w:rFonts w:ascii="Calibri" w:hAnsi="Calibri"/>
        </w:rPr>
        <w:t>волатильный</w:t>
      </w:r>
      <w:proofErr w:type="spellEnd"/>
      <w:r>
        <w:rPr>
          <w:rFonts w:ascii="Calibri" w:hAnsi="Calibri"/>
        </w:rPr>
        <w:t xml:space="preserve"> боковик. </w:t>
      </w:r>
      <w:proofErr w:type="gramStart"/>
      <w:r>
        <w:rPr>
          <w:rFonts w:ascii="Calibri" w:hAnsi="Calibri"/>
        </w:rPr>
        <w:t>Рынки словно притаились в ожидании следующей недели, когда произойдут  определяющие события – повторные выборы в парламент Греции 17 июня (вопрос, кого поддержат греки: конструктивно настроенную партию «Новая Демократия» или оппозиционную «</w:t>
      </w:r>
      <w:proofErr w:type="spellStart"/>
      <w:r>
        <w:rPr>
          <w:rFonts w:ascii="Calibri" w:hAnsi="Calibri"/>
        </w:rPr>
        <w:t>Сирицу</w:t>
      </w:r>
      <w:proofErr w:type="spellEnd"/>
      <w:r>
        <w:rPr>
          <w:rFonts w:ascii="Calibri" w:hAnsi="Calibri"/>
        </w:rPr>
        <w:t>», – и как на это отреагирует Евросоюз), заседание ФРС США 19-20 июня (участники рынка будут искать в речах чиновников намёки на QE3) и саммит G20 18-19 июня.</w:t>
      </w:r>
      <w:proofErr w:type="gramEnd"/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На этой неделе прошёл саммит ОПЕК, но каких-либо значимых новостей он не принёс – участники лишь объявили о готовности действовать, если стоимость </w:t>
      </w:r>
      <w:proofErr w:type="spellStart"/>
      <w:r>
        <w:rPr>
          <w:rFonts w:ascii="Calibri" w:hAnsi="Calibri"/>
        </w:rPr>
        <w:t>Brent</w:t>
      </w:r>
      <w:proofErr w:type="spellEnd"/>
      <w:r>
        <w:rPr>
          <w:rFonts w:ascii="Calibri" w:hAnsi="Calibri"/>
        </w:rPr>
        <w:t xml:space="preserve"> опуститься ниже $90. В четверг и пятницу на российском рынке произошла экспирация фьючерсов и опционов на акции, принесшая традиционную повышенную </w:t>
      </w:r>
      <w:proofErr w:type="spellStart"/>
      <w:r>
        <w:rPr>
          <w:rFonts w:ascii="Calibri" w:hAnsi="Calibri"/>
        </w:rPr>
        <w:t>волатильность</w:t>
      </w:r>
      <w:proofErr w:type="spellEnd"/>
      <w:r>
        <w:rPr>
          <w:rFonts w:ascii="Calibri" w:hAnsi="Calibri"/>
        </w:rPr>
        <w:t>.</w:t>
      </w:r>
    </w:p>
    <w:p w:rsidR="00CB008F" w:rsidRDefault="00CB008F" w:rsidP="00CB008F">
      <w:pPr>
        <w:spacing w:after="200"/>
        <w:rPr>
          <w:rFonts w:ascii="Calibri" w:hAnsi="Calibri"/>
          <w:b/>
          <w:bCs/>
          <w:color w:val="000080"/>
        </w:rPr>
      </w:pPr>
      <w:r>
        <w:rPr>
          <w:rFonts w:ascii="Calibri" w:hAnsi="Calibri"/>
          <w:b/>
          <w:bCs/>
          <w:color w:val="FF0000"/>
        </w:rPr>
        <w:t>По бондам:</w:t>
      </w:r>
      <w:r>
        <w:rPr>
          <w:rFonts w:ascii="Calibri" w:hAnsi="Calibri"/>
          <w:b/>
          <w:bCs/>
          <w:color w:val="000080"/>
        </w:rPr>
        <w:t xml:space="preserve"> 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На прошедшей неделе корпоративные бонды не показали нам какого-либо чуда, двигаясь преимущественно в боковике. При этом лучше рынка смотрелись короткие выпуски с </w:t>
      </w:r>
      <w:proofErr w:type="spellStart"/>
      <w:r>
        <w:rPr>
          <w:rFonts w:ascii="Calibri" w:hAnsi="Calibri"/>
        </w:rPr>
        <w:t>дюрацией</w:t>
      </w:r>
      <w:proofErr w:type="spellEnd"/>
      <w:r>
        <w:rPr>
          <w:rFonts w:ascii="Calibri" w:hAnsi="Calibri"/>
        </w:rPr>
        <w:t xml:space="preserve"> до 2-х лет, по которым превалировали покупки (цены в среднем выросли на 5-15 б.п.). Государственные бумаги также не продолжили взятый ранее тренд на укрепление, их доходности остались фактически на уровне прошлой пятницы. Довольно уверенно чувствовали себя на неделе суверенные евробонды РФ, так, доходность индикативных </w:t>
      </w:r>
      <w:proofErr w:type="spellStart"/>
      <w:r>
        <w:rPr>
          <w:rFonts w:ascii="Calibri" w:hAnsi="Calibri"/>
        </w:rPr>
        <w:t>Russia</w:t>
      </w:r>
      <w:proofErr w:type="spellEnd"/>
      <w:r>
        <w:rPr>
          <w:rFonts w:ascii="Calibri" w:hAnsi="Calibri"/>
        </w:rPr>
        <w:t xml:space="preserve"> 30 снизилась за неделю на 12 б.п. – до 3.91% годовых. Даже в те дни, когда </w:t>
      </w:r>
      <w:proofErr w:type="gramStart"/>
      <w:r>
        <w:rPr>
          <w:rFonts w:ascii="Calibri" w:hAnsi="Calibri"/>
        </w:rPr>
        <w:t>ощущалось повышение спроса на защитные активы суверенные евробонды не сдавали</w:t>
      </w:r>
      <w:proofErr w:type="gramEnd"/>
      <w:r>
        <w:rPr>
          <w:rFonts w:ascii="Calibri" w:hAnsi="Calibri"/>
        </w:rPr>
        <w:t xml:space="preserve"> своих позиций, что объясняется возросшим спросом на валютные облигации среди российских инвесторов. Последнее, в свою очередь, можно объяснить недавним ослаблением рубля и неопределенностью в отношении его дальнейшей судьбы, что вдохновляет инвесторов на покупку валютных активов. 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 xml:space="preserve">Над локальным рынком долга продолжает довлеть недостаток ликвидности, а также общая неопределенность на рынках. Все это понижает активность покупателей, не давая корпоративным облигациям стимулов для роста.  В последний день прошедшей недели стартовал очередной налоговый период (традиционно это уплата страховых взносов в фонды), следующая на очереди уплата 1/3 суммы НДС за I квартал 2012 г. (20 июня), это будет оказывать дополнительное давление на рынок облигаций. Однако стоит отдать должное Банку России, который активно проводит свои однодневные и недельные аукциона РЕПО, устанавливая весомые лимиты (к слову, пятничный лимит по однодневному РЕПО составил 480 </w:t>
      </w:r>
      <w:proofErr w:type="spellStart"/>
      <w:proofErr w:type="gramStart"/>
      <w:r>
        <w:rPr>
          <w:rFonts w:ascii="Calibri" w:hAnsi="Calibri"/>
        </w:rPr>
        <w:t>млрд</w:t>
      </w:r>
      <w:proofErr w:type="spellEnd"/>
      <w:proofErr w:type="gramEnd"/>
      <w:r>
        <w:rPr>
          <w:rFonts w:ascii="Calibri" w:hAnsi="Calibri"/>
        </w:rPr>
        <w:t xml:space="preserve"> руб.).</w:t>
      </w:r>
    </w:p>
    <w:p w:rsidR="00CB008F" w:rsidRDefault="00CB008F" w:rsidP="00CB008F">
      <w:pPr>
        <w:spacing w:after="200"/>
        <w:jc w:val="both"/>
      </w:pPr>
      <w:r>
        <w:rPr>
          <w:rFonts w:ascii="Calibri" w:hAnsi="Calibri"/>
        </w:rPr>
        <w:t>Также в пятницу Банк России провел свое очередное заседание по процентным ставкам, оставив ставку рефинансирования, ставку по депозитам «</w:t>
      </w:r>
      <w:proofErr w:type="spellStart"/>
      <w:r>
        <w:rPr>
          <w:rFonts w:ascii="Calibri" w:hAnsi="Calibri"/>
        </w:rPr>
        <w:t>овернайт</w:t>
      </w:r>
      <w:proofErr w:type="spellEnd"/>
      <w:r>
        <w:rPr>
          <w:rFonts w:ascii="Calibri" w:hAnsi="Calibri"/>
        </w:rPr>
        <w:t xml:space="preserve">» и однодневному РЕПО на неизменных уровнях, что видится более чем логичным в преддверии второго </w:t>
      </w:r>
      <w:r>
        <w:rPr>
          <w:rFonts w:ascii="Calibri" w:hAnsi="Calibri"/>
        </w:rPr>
        <w:lastRenderedPageBreak/>
        <w:t>полугодия, в коем ожидается ускорение инфляции в связи с повышением тарифов в этом периоде.</w:t>
      </w:r>
    </w:p>
    <w:p w:rsidR="0055774B" w:rsidRPr="0039113A" w:rsidRDefault="0055774B" w:rsidP="0039113A"/>
    <w:sectPr w:rsidR="0055774B" w:rsidRPr="0039113A" w:rsidSect="005C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43EA"/>
    <w:rsid w:val="000149E4"/>
    <w:rsid w:val="000C014B"/>
    <w:rsid w:val="000F7368"/>
    <w:rsid w:val="001F480D"/>
    <w:rsid w:val="0021241C"/>
    <w:rsid w:val="00223C4D"/>
    <w:rsid w:val="002246CC"/>
    <w:rsid w:val="00232D1F"/>
    <w:rsid w:val="00271577"/>
    <w:rsid w:val="00272713"/>
    <w:rsid w:val="00277207"/>
    <w:rsid w:val="002C34A0"/>
    <w:rsid w:val="002C6EAC"/>
    <w:rsid w:val="002E13F5"/>
    <w:rsid w:val="003029E5"/>
    <w:rsid w:val="00316584"/>
    <w:rsid w:val="00334F80"/>
    <w:rsid w:val="0033799A"/>
    <w:rsid w:val="00340355"/>
    <w:rsid w:val="00346328"/>
    <w:rsid w:val="003701FA"/>
    <w:rsid w:val="003831E3"/>
    <w:rsid w:val="0039113A"/>
    <w:rsid w:val="003C4197"/>
    <w:rsid w:val="003D74EB"/>
    <w:rsid w:val="00412938"/>
    <w:rsid w:val="004274BA"/>
    <w:rsid w:val="00431280"/>
    <w:rsid w:val="00435609"/>
    <w:rsid w:val="004A0AA6"/>
    <w:rsid w:val="004F30CF"/>
    <w:rsid w:val="0055774B"/>
    <w:rsid w:val="005A7C3B"/>
    <w:rsid w:val="005C7FB8"/>
    <w:rsid w:val="005D673F"/>
    <w:rsid w:val="005F4B0B"/>
    <w:rsid w:val="005F5466"/>
    <w:rsid w:val="006674A6"/>
    <w:rsid w:val="0069211B"/>
    <w:rsid w:val="00693920"/>
    <w:rsid w:val="0069728E"/>
    <w:rsid w:val="006A4632"/>
    <w:rsid w:val="006C2CAF"/>
    <w:rsid w:val="006E3FCA"/>
    <w:rsid w:val="007265BD"/>
    <w:rsid w:val="00726E10"/>
    <w:rsid w:val="00743935"/>
    <w:rsid w:val="00762D71"/>
    <w:rsid w:val="007A44DB"/>
    <w:rsid w:val="007B514C"/>
    <w:rsid w:val="007C3D08"/>
    <w:rsid w:val="007D5B59"/>
    <w:rsid w:val="00815FC5"/>
    <w:rsid w:val="0086435A"/>
    <w:rsid w:val="00886A6C"/>
    <w:rsid w:val="00890C1A"/>
    <w:rsid w:val="008A11DE"/>
    <w:rsid w:val="008A4AF8"/>
    <w:rsid w:val="008B0C94"/>
    <w:rsid w:val="008E0817"/>
    <w:rsid w:val="009016CF"/>
    <w:rsid w:val="00916839"/>
    <w:rsid w:val="00930D22"/>
    <w:rsid w:val="0093577D"/>
    <w:rsid w:val="009428A2"/>
    <w:rsid w:val="009772F8"/>
    <w:rsid w:val="009938CC"/>
    <w:rsid w:val="00996CD5"/>
    <w:rsid w:val="009D66E5"/>
    <w:rsid w:val="00A1495C"/>
    <w:rsid w:val="00A630DD"/>
    <w:rsid w:val="00A71D1E"/>
    <w:rsid w:val="00A76C49"/>
    <w:rsid w:val="00AC04C1"/>
    <w:rsid w:val="00AC0B5A"/>
    <w:rsid w:val="00B241F1"/>
    <w:rsid w:val="00BB39BF"/>
    <w:rsid w:val="00C0433A"/>
    <w:rsid w:val="00C32C87"/>
    <w:rsid w:val="00C3768F"/>
    <w:rsid w:val="00C47A61"/>
    <w:rsid w:val="00C643EA"/>
    <w:rsid w:val="00C95C9E"/>
    <w:rsid w:val="00CA3888"/>
    <w:rsid w:val="00CA540E"/>
    <w:rsid w:val="00CB008F"/>
    <w:rsid w:val="00CC1414"/>
    <w:rsid w:val="00CD214B"/>
    <w:rsid w:val="00DA6B2A"/>
    <w:rsid w:val="00DE41FB"/>
    <w:rsid w:val="00E662B1"/>
    <w:rsid w:val="00E808B8"/>
    <w:rsid w:val="00E84DBB"/>
    <w:rsid w:val="00EE5126"/>
    <w:rsid w:val="00EE5ABA"/>
    <w:rsid w:val="00F060B8"/>
    <w:rsid w:val="00F1443A"/>
    <w:rsid w:val="00F8061E"/>
    <w:rsid w:val="00FA7AFA"/>
    <w:rsid w:val="00FC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EA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A0AA6"/>
    <w:pPr>
      <w:spacing w:before="150"/>
      <w:outlineLvl w:val="0"/>
    </w:pPr>
    <w:rPr>
      <w:b/>
      <w:bCs/>
      <w:color w:val="594243"/>
      <w:kern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43EA"/>
    <w:rPr>
      <w:color w:val="0000FF"/>
      <w:u w:val="single"/>
    </w:rPr>
  </w:style>
  <w:style w:type="paragraph" w:customStyle="1" w:styleId="Default">
    <w:name w:val="Default"/>
    <w:rsid w:val="004A0A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0AA6"/>
    <w:rPr>
      <w:rFonts w:ascii="Times New Roman" w:hAnsi="Times New Roman" w:cs="Times New Roman"/>
      <w:b/>
      <w:bCs/>
      <w:color w:val="594243"/>
      <w:kern w:val="36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A0AA6"/>
    <w:pPr>
      <w:spacing w:before="150"/>
      <w:jc w:val="both"/>
    </w:pPr>
    <w:rPr>
      <w:rFonts w:ascii="Arial" w:hAnsi="Arial" w:cs="Arial"/>
    </w:rPr>
  </w:style>
  <w:style w:type="character" w:styleId="a5">
    <w:name w:val="Emphasis"/>
    <w:basedOn w:val="a0"/>
    <w:uiPriority w:val="20"/>
    <w:qFormat/>
    <w:rsid w:val="007265BD"/>
    <w:rPr>
      <w:i/>
      <w:iCs/>
    </w:rPr>
  </w:style>
  <w:style w:type="paragraph" w:styleId="a6">
    <w:name w:val="Plain Text"/>
    <w:basedOn w:val="a"/>
    <w:link w:val="a7"/>
    <w:uiPriority w:val="99"/>
    <w:semiHidden/>
    <w:unhideWhenUsed/>
    <w:rsid w:val="00CA540E"/>
    <w:rPr>
      <w:rFonts w:ascii="Consolas" w:hAnsi="Consolas" w:cstheme="minorBidi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CA540E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A630DD"/>
  </w:style>
  <w:style w:type="character" w:customStyle="1" w:styleId="30">
    <w:name w:val="Заголовок 3 Знак"/>
    <w:basedOn w:val="a0"/>
    <w:link w:val="3"/>
    <w:uiPriority w:val="9"/>
    <w:semiHidden/>
    <w:rsid w:val="00A71D1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274BA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ebarkova</dc:creator>
  <cp:keywords/>
  <dc:description/>
  <cp:lastModifiedBy>ebarkova</cp:lastModifiedBy>
  <cp:revision>2</cp:revision>
  <dcterms:created xsi:type="dcterms:W3CDTF">2012-06-15T16:43:00Z</dcterms:created>
  <dcterms:modified xsi:type="dcterms:W3CDTF">2012-06-15T16:43:00Z</dcterms:modified>
</cp:coreProperties>
</file>