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3C" w:rsidRPr="0036173C" w:rsidRDefault="0036173C" w:rsidP="0036173C">
      <w:pPr>
        <w:pStyle w:val="a3"/>
        <w:rPr>
          <w:b/>
        </w:rPr>
      </w:pPr>
      <w:r w:rsidRPr="0036173C">
        <w:rPr>
          <w:b/>
        </w:rPr>
        <w:t>Устойчивый тренд сформируется после Пасхи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</w:pPr>
      <w:r>
        <w:t>Минувшая неделя оказалась наихудшей за последние пять периодов.</w:t>
      </w:r>
    </w:p>
    <w:p w:rsidR="0036173C" w:rsidRDefault="0036173C" w:rsidP="0036173C">
      <w:pPr>
        <w:pStyle w:val="a3"/>
        <w:rPr>
          <w:lang w:val="en-US"/>
        </w:rPr>
      </w:pPr>
      <w:r>
        <w:t xml:space="preserve">Сопоставимая по силе коррекция наблюдалась в начале марта, когда индексы просели на 6-7%. Еще ранее, 5%-ное падение индикаторов происходило в начале февраля. Но и в первом и во втором случае цены акций достаточно быстро восстанавливались, и последующая коррекция начиналась уже с новых максимумов. На минувшей неделе индекс РТС потерял 4,4%, ММВБ </w:t>
      </w:r>
      <w:r>
        <w:rPr>
          <w:lang w:val="en-US"/>
        </w:rPr>
        <w:t>-</w:t>
      </w:r>
      <w:r>
        <w:t xml:space="preserve"> 4,1%.</w:t>
      </w:r>
    </w:p>
    <w:p w:rsidR="0036173C" w:rsidRPr="0036173C" w:rsidRDefault="0036173C" w:rsidP="0036173C">
      <w:pPr>
        <w:pStyle w:val="a3"/>
        <w:rPr>
          <w:lang w:val="en-US"/>
        </w:rPr>
      </w:pPr>
    </w:p>
    <w:p w:rsidR="0036173C" w:rsidRDefault="0036173C" w:rsidP="0036173C">
      <w:pPr>
        <w:pStyle w:val="a3"/>
      </w:pPr>
      <w:r>
        <w:t>Коррекция началась с уровней, примерно на 5% выше предыдущего максимума, и нынешнее «дно» оказалось примерно на уровне последнего.  Если ситуация повторится третий раз, то в первых числах мая мы увидим как минимум, на 6-7% выше текущих значений, а в лучшем случае - уровни выше 2200 пунктов по шкале РТС.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</w:pPr>
      <w:r>
        <w:t>К сожалению, текущие сигналы увеличивают вероятность пессимистичного сценария, при котором продолжения роста не будет. Дезориентируют игроков, прежде всего, потеря взаимосвязи между динамикой индексов и  ценами на нефть, активностью рынка и притоком сре</w:t>
      </w:r>
      <w:proofErr w:type="gramStart"/>
      <w:r>
        <w:t>дств в ф</w:t>
      </w:r>
      <w:proofErr w:type="gramEnd"/>
      <w:r>
        <w:t>онды акций, инфляционными ожиданиями и прогнозированием действий мировых ЦБ в таких условиях.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</w:pPr>
      <w:r>
        <w:t>Инвесторы действительно слабо представляют себе дальнейшие перспективы фондовых рынков. С одной стороны, цены на сырье высоки, что  должно вызвать интерес к соответствующим активам. С другой - повышаются риски снижения котировок товарного рынка. Далее, с одной стороны, свободная ликвидность вполне способствует дальнейшему росту цен, с другой -  активизировались дискуссии по поводу предстоящего ужесточения кредитно-денежной политики мировых ЦБ. С одной стороны, грядет месяц, который призывает инвесторов продавать бумаги. С другой - на российских рынках с момента расчета индекса РТС (1995 г., 15 лет) фиксировался в среднем 2,5% рост котировок. С одной стороны, фонды акций РФ переполнены инвестиционными средствами, с другой - их присутствие на фондовом рынке не очень заметно.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</w:pPr>
      <w:r>
        <w:t>Последние данные по притоку сре</w:t>
      </w:r>
      <w:proofErr w:type="gramStart"/>
      <w:r>
        <w:t>дств в ф</w:t>
      </w:r>
      <w:proofErr w:type="gramEnd"/>
      <w:r>
        <w:t xml:space="preserve">онды акций утверждают во мнении и сохранении перспектив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>
        <w:t>. Последние данные отчетности EPFR свидетельствуют о том, что фонды GEM и высокодоходные фонды облигаций начали второй квартал с рекордного притока средств. Инвесторы отошли от привычных направлений, с верой в восстановление глобальной экономики, слабый доллар и озабоченностью по поводу инфляции внутри экономик, растущих наибольшими темпами.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</w:pPr>
      <w:r>
        <w:t>Коллективный приток сре</w:t>
      </w:r>
      <w:proofErr w:type="gramStart"/>
      <w:r>
        <w:t>дств в ф</w:t>
      </w:r>
      <w:proofErr w:type="gramEnd"/>
      <w:r>
        <w:t xml:space="preserve">онды </w:t>
      </w:r>
      <w:proofErr w:type="spellStart"/>
      <w:r>
        <w:t>Equity</w:t>
      </w:r>
      <w:proofErr w:type="spellEnd"/>
      <w:r>
        <w:t xml:space="preserve"> и </w:t>
      </w:r>
      <w:proofErr w:type="spellStart"/>
      <w:r>
        <w:t>Bond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взлетел до наивысшего уровня с начала декабря и конца октября прошлого года, при этом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привлекли свыше 1/3 этого объема. Это был также рекордный период для диверсифицированных фондов GEM </w:t>
      </w:r>
      <w:proofErr w:type="spellStart"/>
      <w:r>
        <w:t>Equity</w:t>
      </w:r>
      <w:proofErr w:type="spellEnd"/>
      <w:r>
        <w:t xml:space="preserve"> и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Bond</w:t>
      </w:r>
      <w:proofErr w:type="spellEnd"/>
      <w:r>
        <w:t xml:space="preserve">. Фонды </w:t>
      </w:r>
      <w:proofErr w:type="spellStart"/>
      <w:r>
        <w:t>Balanced</w:t>
      </w:r>
      <w:proofErr w:type="spellEnd"/>
      <w:r>
        <w:t xml:space="preserve">, </w:t>
      </w:r>
      <w:proofErr w:type="spellStart"/>
      <w:r>
        <w:t>Asia</w:t>
      </w:r>
      <w:proofErr w:type="spellEnd"/>
      <w:r>
        <w:t xml:space="preserve"> </w:t>
      </w:r>
      <w:proofErr w:type="spellStart"/>
      <w:r>
        <w:t>ex-Japan</w:t>
      </w:r>
      <w:proofErr w:type="spellEnd"/>
      <w:r>
        <w:t xml:space="preserve">, </w:t>
      </w:r>
      <w:proofErr w:type="spellStart"/>
      <w:r>
        <w:t>China</w:t>
      </w:r>
      <w:proofErr w:type="spellEnd"/>
      <w:r>
        <w:t xml:space="preserve"> и </w:t>
      </w:r>
      <w:proofErr w:type="spellStart"/>
      <w:r>
        <w:t>Turkey</w:t>
      </w:r>
      <w:proofErr w:type="spellEnd"/>
      <w:r>
        <w:t xml:space="preserve">,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Bond</w:t>
      </w:r>
      <w:proofErr w:type="spellEnd"/>
      <w:r>
        <w:t xml:space="preserve"> и </w:t>
      </w:r>
      <w:proofErr w:type="spellStart"/>
      <w:r>
        <w:t>Commodity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испытали максимальный приток средств </w:t>
      </w:r>
      <w:proofErr w:type="gramStart"/>
      <w:r>
        <w:t>за</w:t>
      </w:r>
      <w:proofErr w:type="gramEnd"/>
      <w:r>
        <w:t xml:space="preserve"> последние 17 недель. И только фонды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Bond</w:t>
      </w:r>
      <w:proofErr w:type="spellEnd"/>
      <w:r>
        <w:t xml:space="preserve">, </w:t>
      </w:r>
      <w:proofErr w:type="spellStart"/>
      <w:r>
        <w:t>Japan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и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показали отток в начале апреля. В </w:t>
      </w:r>
      <w:proofErr w:type="spellStart"/>
      <w:r>
        <w:t>страновом</w:t>
      </w:r>
      <w:proofErr w:type="spellEnd"/>
      <w:r>
        <w:t xml:space="preserve"> разрезе российский фондовый рынок - в лидерах по </w:t>
      </w:r>
      <w:proofErr w:type="spellStart"/>
      <w:r>
        <w:t>абсорбированию</w:t>
      </w:r>
      <w:proofErr w:type="spellEnd"/>
      <w:r>
        <w:t xml:space="preserve"> инвестиционных средств, - что вписывается в представление о нашем рынке как самом быстрорастущем.</w:t>
      </w:r>
    </w:p>
    <w:p w:rsidR="0036173C" w:rsidRDefault="0036173C" w:rsidP="0036173C">
      <w:pPr>
        <w:pStyle w:val="a3"/>
      </w:pPr>
    </w:p>
    <w:p w:rsidR="0036173C" w:rsidRDefault="00AA7ABA" w:rsidP="0036173C">
      <w:pPr>
        <w:pStyle w:val="a3"/>
      </w:pPr>
      <w:r>
        <w:t>«Проседание»</w:t>
      </w:r>
      <w:r w:rsidR="0036173C">
        <w:t xml:space="preserve"> рынка в период сохраняющегося притока в фонды акций России выглядит странно. Но, в целом, является подтверждением мнения о том, что средства заводятся в фонды РФ с целью участия в приватизационных процессах.</w:t>
      </w:r>
    </w:p>
    <w:p w:rsidR="0036173C" w:rsidRDefault="0036173C" w:rsidP="0036173C">
      <w:pPr>
        <w:pStyle w:val="a3"/>
      </w:pPr>
      <w:r>
        <w:t>Неделя, завершившаяся 13 апреля, вновь кажется аномальной, если только не принимать во внимание предстоящие масштабные распродажи на первичном рынке.</w:t>
      </w:r>
    </w:p>
    <w:p w:rsidR="0036173C" w:rsidRDefault="0036173C" w:rsidP="0036173C">
      <w:pPr>
        <w:pStyle w:val="a3"/>
      </w:pPr>
      <w:r>
        <w:t>Приток сре</w:t>
      </w:r>
      <w:proofErr w:type="gramStart"/>
      <w:r>
        <w:t>дств в ф</w:t>
      </w:r>
      <w:proofErr w:type="gramEnd"/>
      <w:r>
        <w:t xml:space="preserve">онды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, начавшийся в конце марта, продолжился. Приток зафиксирован в фонды GEM, фонды BRIC и некоторые </w:t>
      </w:r>
      <w:proofErr w:type="spellStart"/>
      <w:r>
        <w:t>страновые</w:t>
      </w:r>
      <w:proofErr w:type="spellEnd"/>
      <w:r>
        <w:t xml:space="preserve"> фонды. Однако их объем заметно оскудел, и большинство региональных фондов акций показывают </w:t>
      </w:r>
      <w:r>
        <w:lastRenderedPageBreak/>
        <w:t>более слабую динамику. При этом фонды России остаются безусловными лидерами как по притоку средств за неделю, так и за месяц и с начала года.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</w:pPr>
      <w:proofErr w:type="gramStart"/>
      <w:r>
        <w:t>Сложно оценить перспективы таких инвест</w:t>
      </w:r>
      <w:r w:rsidR="00AA7ABA">
        <w:t xml:space="preserve">иционных сделок: период крупных </w:t>
      </w:r>
      <w:r>
        <w:t>PO/SPO/PIPO всегда чреват ослаблением конъюнктуры вторичного рынка.</w:t>
      </w:r>
      <w:proofErr w:type="gramEnd"/>
      <w:r>
        <w:t xml:space="preserve"> В это время наблюдается отток сре</w:t>
      </w:r>
      <w:proofErr w:type="gramStart"/>
      <w:r>
        <w:t>дств с вт</w:t>
      </w:r>
      <w:proofErr w:type="gramEnd"/>
      <w:r>
        <w:t>оричных площадок и «проседание»</w:t>
      </w:r>
      <w:r w:rsidR="00AA7ABA">
        <w:t xml:space="preserve"> </w:t>
      </w:r>
      <w:r>
        <w:t>рыночных котировок. Поэтому, с одной стороны, такой примечательный приток средств радует, с другой - указывает на то, что в какой-то момент действие этого фактора прекратится.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</w:pPr>
      <w:r>
        <w:t>Однако направление движения среднесрочного тренда сформируется, вероятно, только через неделю. Сегодняшний день уже можно считать «потерянным» для рынка - 1,3%-ное снижение происходит на фоне низкой торговой активности. 22 апреля большинство банков и финансовые рынки некоторых стран закрыты в связи с празднованием Страстной Пятницы, что также вряд ли будет способствовать наращиванию позиций.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</w:pPr>
      <w:r>
        <w:t xml:space="preserve">Скорее всего, индексы РФ в ближайшие дни будут колебаться вокруг текущих уровней. </w:t>
      </w:r>
      <w:proofErr w:type="spellStart"/>
      <w:r>
        <w:t>Неснижение</w:t>
      </w:r>
      <w:proofErr w:type="spellEnd"/>
      <w:r>
        <w:t xml:space="preserve"> в этот период индекса РТС ниже отметки 2000 пунктов следует считать сигналом для покупок.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</w:pPr>
      <w:r>
        <w:t xml:space="preserve">На прошлой неделе, как сказано выше, индексы РТС и ММВБ опустились более чем на 4%, уменьшив результативность с начала года до 15 и 5,5%, соответственно. Это почти наихудший результат в группе </w:t>
      </w:r>
      <w:proofErr w:type="gramStart"/>
      <w:r>
        <w:t>развивающихся</w:t>
      </w:r>
      <w:proofErr w:type="gramEnd"/>
      <w:r>
        <w:t xml:space="preserve">. По итогам четырех недель рынок также скатился в группе аутсайдеров. Но, между тем, по итогам года, мы продолжаем считаться фаворитами в группе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.  Рынки развитых стран на прошлой неделе показали минимальные изменения, в пределах 2%. Рынки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потеряли в среднем столько же.</w:t>
      </w:r>
    </w:p>
    <w:p w:rsidR="0036173C" w:rsidRDefault="0036173C" w:rsidP="0036173C">
      <w:pPr>
        <w:pStyle w:val="a3"/>
      </w:pPr>
    </w:p>
    <w:p w:rsidR="0036173C" w:rsidRDefault="0036173C" w:rsidP="0036173C">
      <w:pPr>
        <w:pStyle w:val="a3"/>
        <w:rPr>
          <w:lang w:val="en-US"/>
        </w:rPr>
      </w:pPr>
      <w:r>
        <w:t>В новостном плане следует отметить актуализацию темы инфляции и долговых проблем периферийных стран Европы. Главной из тем стала дефолта по греческим обязательствам. При этом данные за март по потребительской инфляции в Еврозоне (пересмотрено в сторону повышения с 2,6% до 2,7%г/г).</w:t>
      </w:r>
    </w:p>
    <w:p w:rsidR="0036173C" w:rsidRPr="0036173C" w:rsidRDefault="0036173C" w:rsidP="0036173C">
      <w:pPr>
        <w:pStyle w:val="a3"/>
        <w:rPr>
          <w:lang w:val="en-US"/>
        </w:rPr>
      </w:pPr>
    </w:p>
    <w:p w:rsidR="0036173C" w:rsidRDefault="0036173C" w:rsidP="0036173C">
      <w:pPr>
        <w:pStyle w:val="a3"/>
      </w:pPr>
      <w:r>
        <w:t xml:space="preserve">Т.о., обострились дискуссии на тему лавирования между необходимостью ужесточения монетарной политики и предоставлением дополнительной ликвидности </w:t>
      </w:r>
      <w:proofErr w:type="gramStart"/>
      <w:r>
        <w:t>для</w:t>
      </w:r>
      <w:proofErr w:type="gramEnd"/>
      <w:r>
        <w:t xml:space="preserve"> проблемным экономикам. В США индекс потребительских цен вырос до 2,7% г/г, а цены производителей увеличились слабее прогноза (5,8%г/г против 6,1%). Рост индекса CPI в Китае выше 5% вынудил ЦБ Китая на 50 б.п. повысить резервные требования.</w:t>
      </w:r>
    </w:p>
    <w:p w:rsidR="0036173C" w:rsidRDefault="0036173C" w:rsidP="0036173C">
      <w:pPr>
        <w:pStyle w:val="a3"/>
      </w:pPr>
    </w:p>
    <w:p w:rsidR="002E311A" w:rsidRPr="0036173C" w:rsidRDefault="0036173C" w:rsidP="0036173C">
      <w:pPr>
        <w:pStyle w:val="a3"/>
        <w:rPr>
          <w:lang w:val="en-US"/>
        </w:rPr>
      </w:pPr>
      <w:r>
        <w:t xml:space="preserve">Внимание игроков  предстоящей неделе будет обращено к развитию ситуации вокруг долговых проблем Еврозоны. Во вторник  ждем данных по платежному балансу Еврозоны, строительству в США. В середине пятидневки выйдут данные по внешней торговли Японии, рынку ипотеки в США. В четверг будут опубликованы данные по розничным продажам в Великобритании. В течение недели будут поступать корпоративные отчеты американских корпораций. 22 апреля </w:t>
      </w:r>
      <w:r>
        <w:rPr>
          <w:lang w:val="en-US"/>
        </w:rPr>
        <w:t>-</w:t>
      </w:r>
      <w:r>
        <w:t xml:space="preserve"> Страстная пятница.</w:t>
      </w:r>
    </w:p>
    <w:sectPr w:rsidR="002E311A" w:rsidRPr="0036173C" w:rsidSect="006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6173C"/>
    <w:rsid w:val="002558AA"/>
    <w:rsid w:val="0036173C"/>
    <w:rsid w:val="003F6927"/>
    <w:rsid w:val="00666EBE"/>
    <w:rsid w:val="00AA7ABA"/>
    <w:rsid w:val="00BE755B"/>
    <w:rsid w:val="00C4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617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6173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962</Words>
  <Characters>5487</Characters>
  <Application>Microsoft Office Word</Application>
  <DocSecurity>0</DocSecurity>
  <Lines>45</Lines>
  <Paragraphs>12</Paragraphs>
  <ScaleCrop>false</ScaleCrop>
  <Company>Finam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3</cp:revision>
  <dcterms:created xsi:type="dcterms:W3CDTF">2011-04-18T12:29:00Z</dcterms:created>
  <dcterms:modified xsi:type="dcterms:W3CDTF">2011-04-18T12:35:00Z</dcterms:modified>
</cp:coreProperties>
</file>