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43C" w:rsidRPr="004731E1" w:rsidRDefault="00A87A81" w:rsidP="00A87A81">
      <w:r>
        <w:t xml:space="preserve">На прошлой неделе российский фондовый рынок продолжил активно восстанавливать позиции  – фондовые индексы вернулись к уровням 3-х недельной давности, рост составил 10,5% по индексу РТС и 6% по индексу ММВБ. Поддержку нашему рынку оказало улучшение ситуации на мировых фондовых биржах, рост цен на нефть и укрепление рубля. </w:t>
      </w:r>
      <w:proofErr w:type="gramStart"/>
      <w:r>
        <w:t xml:space="preserve">Тем не менее, по итогам недели вновь зафиксирован отток капитала из глобальных фондов, инвестирующих в акции России и СНГ, на уровне 190 млн долл. </w:t>
      </w:r>
      <w:r>
        <w:br/>
      </w:r>
      <w:r>
        <w:br/>
        <w:t>Рынок сфокусировался на нескольких позитивных новостях – ратификация 17 странами еврозоны увеличения объема EFSF и расширения его полномочий (последняя из голосовавших стран, Словакия, внесла интригу, первоначально отклонив этот план, но к концу недели проголосовала в унисон со</w:t>
      </w:r>
      <w:proofErr w:type="gramEnd"/>
      <w:r>
        <w:t xml:space="preserve"> </w:t>
      </w:r>
      <w:proofErr w:type="gramStart"/>
      <w:r>
        <w:t xml:space="preserve">всеми), одобрение «тройкой» международных инспекторов шестого транша кредита Греции на 8 млрд евро, заявления </w:t>
      </w:r>
      <w:proofErr w:type="spellStart"/>
      <w:r>
        <w:t>А.Меркель</w:t>
      </w:r>
      <w:proofErr w:type="spellEnd"/>
      <w:r>
        <w:t>, Н. Саркози и Ж.-М. Баррозу о подготовке плана рекапитализации европейских  банков, ожидания, что в ходе предстоящих саммитов: министров финансов G20 (в конце недели), лидеров стран ЕС (23 октября) и лидеров стран «двадцатки» (3-4 ноября), будут озвучены, наконец, конкретные предложения по преодолению долгового кризиса</w:t>
      </w:r>
      <w:proofErr w:type="gramEnd"/>
      <w:r>
        <w:t xml:space="preserve"> Европы. </w:t>
      </w:r>
      <w:proofErr w:type="gramStart"/>
      <w:r>
        <w:t>В частности, в конце недели СМИ активно обсуждали темы возможного расширения кредитных возможностей МВФ для помощи Европе за счет поддержки развивающихся стран, изменения параметров программы обмена греческих облигаций с увеличением «добровольных» списаний инвесторов с 21% до более реалистичного уровня (50%), существенное повышение требований к капиталу банков с участием государств еврозоны и EFSF в их рекапитализации (потенциальный размер потребности в дополнительном</w:t>
      </w:r>
      <w:proofErr w:type="gramEnd"/>
      <w:r>
        <w:t xml:space="preserve"> </w:t>
      </w:r>
      <w:proofErr w:type="gramStart"/>
      <w:r>
        <w:t>капитале</w:t>
      </w:r>
      <w:proofErr w:type="gramEnd"/>
      <w:r>
        <w:t xml:space="preserve"> оценивается в 100-300 млрд евро). По сообщениям </w:t>
      </w:r>
      <w:proofErr w:type="spellStart"/>
      <w:r>
        <w:t>Reuters</w:t>
      </w:r>
      <w:proofErr w:type="spellEnd"/>
      <w:r>
        <w:t xml:space="preserve"> со ссылкой на анонимные источники, МВФ может потребоваться еще 350 млрд </w:t>
      </w:r>
      <w:proofErr w:type="spellStart"/>
      <w:proofErr w:type="gramStart"/>
      <w:r>
        <w:t>долл</w:t>
      </w:r>
      <w:proofErr w:type="spellEnd"/>
      <w:proofErr w:type="gramEnd"/>
      <w:r>
        <w:t xml:space="preserve"> для помощи странам еврозоны. </w:t>
      </w:r>
      <w:r>
        <w:br/>
      </w:r>
      <w:r>
        <w:br/>
        <w:t xml:space="preserve">Данные из США (неожиданно сильный рост розничных продаж в сентябре; несколько лучшие, чем ожидалось, недельные результаты по рынку труда; </w:t>
      </w:r>
      <w:proofErr w:type="gramStart"/>
      <w:r>
        <w:t xml:space="preserve">позитивная отчетность Google) также оказали поддержку рынку, в то время как отклонение Сенатом плана Обамы по поддержке экономики и занятости, снижение индекса потребительского доверия и разочаровывающие результаты первого из отчитавшегося американских банков - JP </w:t>
      </w:r>
      <w:proofErr w:type="spellStart"/>
      <w:r>
        <w:t>Morgan</w:t>
      </w:r>
      <w:proofErr w:type="spellEnd"/>
      <w:r>
        <w:t>, неуклюже приукрашенные бухгалтерской прибылью, не оказали на него заметного влияния.</w:t>
      </w:r>
      <w:proofErr w:type="gramEnd"/>
      <w:r>
        <w:t>  Российский рынок оказался еще менее чувствителен к негативным новостям, чем мир - основными ориентирами для нашего рынка стали сильная перепроданность акций в начале октября и дорожающая нефть (Brent превысила $110 /барр)</w:t>
      </w:r>
      <w:proofErr w:type="gramStart"/>
      <w:r>
        <w:t xml:space="preserve"> .</w:t>
      </w:r>
      <w:proofErr w:type="gramEnd"/>
      <w:r>
        <w:t xml:space="preserve"> </w:t>
      </w:r>
      <w:r>
        <w:br/>
      </w:r>
      <w:r>
        <w:br/>
        <w:t>Лидерами роста на прошлой неделе в России стали акции банков и металлургических компаний, больше других пострадавшие ранее от падения рынка. Так, обыкновенные акции Сбербанка за неделю прибавили 14%, превысив 80 руб./акцию, привилегированные акции подорожали на 11,7%. При этом рост происходил на высоких объемах торгов, что указывает на серьезный интерес покупателей, который могли поддержать и сильные результаты 9М11 по РСБУ, опубликованные на прошлой неделе. Во втором эшелоне «выстрелили» акции Банка Санкт-Петербург (+35%) и «</w:t>
      </w:r>
      <w:proofErr w:type="spellStart"/>
      <w:r>
        <w:t>префа</w:t>
      </w:r>
      <w:proofErr w:type="spellEnd"/>
      <w:r>
        <w:t xml:space="preserve">» банка «Возрождение» (+38%).  Столь резкий рост акций </w:t>
      </w:r>
      <w:proofErr w:type="spellStart"/>
      <w:r>
        <w:t>БСПб</w:t>
      </w:r>
      <w:proofErr w:type="spellEnd"/>
      <w:r>
        <w:t xml:space="preserve"> и </w:t>
      </w:r>
      <w:proofErr w:type="spellStart"/>
      <w:r>
        <w:t>Возрождения-п</w:t>
      </w:r>
      <w:proofErr w:type="spellEnd"/>
      <w:r>
        <w:t xml:space="preserve"> может частично объясняться низкой ликвидностью акций, однако не исключено, что могут быть и другие причины, в частности, связанные с информацией в СМИ об интересе внешних стратегических инвесторов к приобретению пакетов акций в этих банках. В металлургическом секторе лучшие результаты показали НЛМК (+16,6%), ММК (+16,2%), Северсталь (+10,4%). </w:t>
      </w:r>
      <w:r>
        <w:br/>
      </w:r>
      <w:r>
        <w:br/>
        <w:t xml:space="preserve">В пятницу российские фондовые индексы прибавили более 3%, в лидерах роста вновь акции </w:t>
      </w:r>
      <w:r>
        <w:lastRenderedPageBreak/>
        <w:t xml:space="preserve">Сбербанка (+7,6%), холдинг МРСК (+7,8%), ТМК (+10%), Мечел (+7,0%). Во втором эшелоне лидером роста стали акции Калины (+40%) на объявлении о покупке </w:t>
      </w:r>
      <w:proofErr w:type="spellStart"/>
      <w:r>
        <w:t>Unilever</w:t>
      </w:r>
      <w:proofErr w:type="spellEnd"/>
      <w:r>
        <w:t xml:space="preserve"> 82% акций российской компании по цене 4098 руб за акцию, т.е. с премией в 86% к рынку на закрытие торгов в четверг. Сделка должна быть закрыта до конца года, после чего покупатель сделает оферту </w:t>
      </w:r>
      <w:proofErr w:type="spellStart"/>
      <w:r>
        <w:t>миноритариям</w:t>
      </w:r>
      <w:proofErr w:type="spellEnd"/>
      <w:r>
        <w:t xml:space="preserve">. </w:t>
      </w:r>
      <w:r>
        <w:br/>
      </w:r>
      <w:r>
        <w:br/>
        <w:t xml:space="preserve">Американские индексы в пятницу повысились на 1,4-1,8%, в целом недельное ралли было рекордным с июля 2009 г. Европейские фондовые индексы закрылись умеренным ростом – в среднем около 1%. Нефть (WTI) подорожала на 3,5% (всего за неделю – на 5,5%). </w:t>
      </w:r>
      <w:r>
        <w:br/>
      </w:r>
      <w:r>
        <w:br/>
        <w:t xml:space="preserve">Итоги саммита финансовой «двадцатки» - вопрос о расширении ресурсов МВФ отложен до саммита 3-4 ноября, европейских лидеров призвали принять «решительные меры» по разработке окончательного антикризисного плана к саммиту 23 октября, в том числе максимизацию возможностей EFSF для того, чтобы избежать распространения долгового кризиса. Отмечено, что МВФ должен сыграть заметную роль в поддержании финансовой стабильности и помощи европейским странам. Обещано обеспечение </w:t>
      </w:r>
      <w:proofErr w:type="gramStart"/>
      <w:r>
        <w:t>достаточной</w:t>
      </w:r>
      <w:proofErr w:type="gramEnd"/>
      <w:r>
        <w:t xml:space="preserve"> рекапитализации банков и их доступа к финансированию. Поддержано создание с 2016 г. требование дополнительного буфера достаточности капитала для глобально системно значимых банков, список которых может быть принят на саммите 3-4 ноября в Каннах. Таким образом, политическая воля к согласованным действиям выражена, но конкретные решения вновь отложены до 23 октября. </w:t>
      </w:r>
      <w:r>
        <w:br/>
      </w:r>
      <w:r>
        <w:br/>
        <w:t xml:space="preserve">Первая реакция мировых рынков на саммит позитивна – азиатские фондовые индексы заметно растут (MSCI </w:t>
      </w:r>
      <w:proofErr w:type="spellStart"/>
      <w:r>
        <w:t>Asia</w:t>
      </w:r>
      <w:proofErr w:type="spellEnd"/>
      <w:r>
        <w:t xml:space="preserve"> </w:t>
      </w:r>
      <w:proofErr w:type="spellStart"/>
      <w:r>
        <w:t>Pacific</w:t>
      </w:r>
      <w:proofErr w:type="spellEnd"/>
      <w:r>
        <w:t xml:space="preserve"> +1,7%), нефть и американские фьючерсы торгуются в умеренном плюсе, котировки Brent превышают $112/барр. </w:t>
      </w:r>
      <w:r>
        <w:br/>
      </w:r>
      <w:r>
        <w:br/>
        <w:t xml:space="preserve">Мы ожидаем позитивного открытия российского рынка с ростом наиболее ликвидных бумаг в пределах 1%, лучше рынка могут торговаться нефтегазовые бумаги. Основные события в течение дня – данные о </w:t>
      </w:r>
      <w:proofErr w:type="spellStart"/>
      <w:r>
        <w:t>промпроизводстве</w:t>
      </w:r>
      <w:proofErr w:type="spellEnd"/>
      <w:r>
        <w:t xml:space="preserve"> в США за сентябрь и октябрьский </w:t>
      </w:r>
      <w:proofErr w:type="spellStart"/>
      <w:r>
        <w:t>Empire</w:t>
      </w:r>
      <w:proofErr w:type="spellEnd"/>
      <w:r>
        <w:t xml:space="preserve"> Manufacturing. Выйдут квартальные  отчеты Citigroup, Wells Fargo, </w:t>
      </w:r>
      <w:proofErr w:type="spellStart"/>
      <w:r>
        <w:t>Halliburton</w:t>
      </w:r>
      <w:proofErr w:type="spellEnd"/>
      <w:r>
        <w:t xml:space="preserve">, IBM. </w:t>
      </w:r>
      <w:r>
        <w:br/>
      </w:r>
      <w:r>
        <w:br/>
        <w:t xml:space="preserve">Наиболее ожидаемым событием недели должен стать саммит лидеров стран ЕС 23 октября (рынок рассчитывает услышать согласованные решения по реструктуризации долга Греции, механизмам дополнительной поддержки стран еврозоны, рекапитализации банков). Кроме того, на неделе выйдет много значимой американской макростатистики – инфляция (PPI и CPI), покупки нерезидентами американских ценных бумаг, начало нового строительства, продажи жилья на </w:t>
      </w:r>
      <w:proofErr w:type="gramStart"/>
      <w:r>
        <w:t>вторичном</w:t>
      </w:r>
      <w:proofErr w:type="gramEnd"/>
      <w:r>
        <w:t xml:space="preserve"> рынке. Во вторник выйдет блок статистики по Китаю. </w:t>
      </w:r>
      <w:proofErr w:type="gramStart"/>
      <w:r>
        <w:t xml:space="preserve">Продолжится сезон корпоративной отчетности – </w:t>
      </w:r>
      <w:proofErr w:type="spellStart"/>
      <w:r>
        <w:t>Apple</w:t>
      </w:r>
      <w:proofErr w:type="spellEnd"/>
      <w:r>
        <w:t xml:space="preserve">, Bank of America, </w:t>
      </w:r>
      <w:proofErr w:type="spellStart"/>
      <w:r>
        <w:t>Coca-Cola</w:t>
      </w:r>
      <w:proofErr w:type="spellEnd"/>
      <w:r>
        <w:t xml:space="preserve">, </w:t>
      </w:r>
      <w:proofErr w:type="spellStart"/>
      <w:r>
        <w:t>Goldman</w:t>
      </w:r>
      <w:proofErr w:type="spellEnd"/>
      <w:r>
        <w:t xml:space="preserve"> </w:t>
      </w:r>
      <w:proofErr w:type="spellStart"/>
      <w:r>
        <w:t>Sachs</w:t>
      </w:r>
      <w:proofErr w:type="spellEnd"/>
      <w:r>
        <w:t xml:space="preserve">, </w:t>
      </w:r>
      <w:proofErr w:type="spellStart"/>
      <w:r>
        <w:t>Intel</w:t>
      </w:r>
      <w:proofErr w:type="spellEnd"/>
      <w:r>
        <w:t xml:space="preserve">, Yahoo! (18 октября), </w:t>
      </w:r>
      <w:proofErr w:type="spellStart"/>
      <w:r>
        <w:t>Morgan</w:t>
      </w:r>
      <w:proofErr w:type="spellEnd"/>
      <w:r>
        <w:t xml:space="preserve"> </w:t>
      </w:r>
      <w:proofErr w:type="spellStart"/>
      <w:r>
        <w:t>Stanley</w:t>
      </w:r>
      <w:proofErr w:type="spellEnd"/>
      <w:r>
        <w:t xml:space="preserve"> (19 октября), </w:t>
      </w:r>
      <w:proofErr w:type="spellStart"/>
      <w:r>
        <w:t>Microsoft</w:t>
      </w:r>
      <w:proofErr w:type="spellEnd"/>
      <w:r>
        <w:t xml:space="preserve"> (20 октября), GE (21 октября). 18 октября ожидается выступление главы ФРС Б. Бернанке, интерес к которому может быть усилен недавней публикацией протокола последнего заседания FOMC, на котором некоторые участники высказывались за возможность использования QE3 как одного из антикризисных инструментов (в</w:t>
      </w:r>
      <w:proofErr w:type="gramEnd"/>
      <w:r>
        <w:t xml:space="preserve"> </w:t>
      </w:r>
      <w:proofErr w:type="gramStart"/>
      <w:r>
        <w:t>кратком комментарии 21 сентября это отражено не было).</w:t>
      </w:r>
      <w:proofErr w:type="gramEnd"/>
      <w:r>
        <w:t xml:space="preserve"> </w:t>
      </w:r>
      <w:r>
        <w:br/>
      </w:r>
      <w:r>
        <w:br/>
        <w:t xml:space="preserve">В России на текущей неделе ожидаются периоды налоговых выплат (17 октября – страховые взносы во внебюджетные фонды, 20 октября – НДС), что может ухудшить ситуацию с ликвидностью. Из корпоративных событий отметим публикацию отчетности </w:t>
      </w:r>
      <w:proofErr w:type="spellStart"/>
      <w:r>
        <w:t>Алроса</w:t>
      </w:r>
      <w:proofErr w:type="spellEnd"/>
      <w:r>
        <w:t xml:space="preserve"> за 1П11 МСФО (18 октября). </w:t>
      </w:r>
      <w:r>
        <w:br/>
      </w:r>
      <w:r>
        <w:lastRenderedPageBreak/>
        <w:br/>
        <w:t xml:space="preserve">В последнее время на смену бесконечным «вербальным интервенциям» о недопустимости дефолтов в еврозоне, наконец, приходят первые </w:t>
      </w:r>
      <w:proofErr w:type="gramStart"/>
      <w:r>
        <w:t>более-менее прагматичные</w:t>
      </w:r>
      <w:proofErr w:type="gramEnd"/>
      <w:r>
        <w:t xml:space="preserve"> действия европейских лидеров – и это воспринимается рынками весьма позитивно. Между тем, оптимизм базируется на достаточно зыбкой почве - предложения реструктуризации долга Греции (представители европейских регуляторов называют ориентировочный уровень списания 50-60% долга) вызывают протест кредиторов, настаивающих на выполнен</w:t>
      </w:r>
      <w:proofErr w:type="gramStart"/>
      <w:r>
        <w:t>ии ию</w:t>
      </w:r>
      <w:proofErr w:type="gramEnd"/>
      <w:r>
        <w:t xml:space="preserve">льских договоренностей, и возражения руководства ЕЦБ. Нет понимания, удастся ли при этом убедить рынки в том, что аналогичное развитие ситуации не произойдет для крупных европейских экономик – Италии и Испании (рейтинг которой был вновь снижен в конце недели с негативным прогнозом), что грозит новым витком роста доходностей по госбумагам и в худшем случае – потерей доступа этих стран к рыночным </w:t>
      </w:r>
      <w:proofErr w:type="gramStart"/>
      <w:r>
        <w:t>заимствованиям</w:t>
      </w:r>
      <w:proofErr w:type="gramEnd"/>
      <w:r>
        <w:t xml:space="preserve"> в то время как действующих ресурсов EFSF для их спасения не хватит. План рекапитализации европейских банков пока не согласован, а банки уже выражают недовольство им в условиях резкого падения рыночной капитализации и отсутствия спроса со стороны частных инвесторов, угрожая массовой распродажей рыночных активов. Риски рецессии в США и Европе не исчезли, хотя в последних данных появляются проблески улучшения; устойчивость роста азиатских экономик в этом случае также под вопросом. </w:t>
      </w:r>
      <w:r>
        <w:br/>
      </w:r>
      <w:r>
        <w:br/>
        <w:t xml:space="preserve">Мы полагаем, что на этой неделе попытки роста мировых рынков в надежде на разработку плана антикризисных мер к концу </w:t>
      </w:r>
      <w:proofErr w:type="spellStart"/>
      <w:proofErr w:type="gramStart"/>
      <w:r>
        <w:t>октября-началу</w:t>
      </w:r>
      <w:proofErr w:type="spellEnd"/>
      <w:proofErr w:type="gramEnd"/>
      <w:r>
        <w:t xml:space="preserve"> ноября продолжатся, корпоративные отчеты американских компаний могут стимулировать восстановление рынков, а дорогая нефть поддержит спрос на российские акции. В то же время оснований для уверенного роста рынков пока немного, а с учетом ожиданий ухудшения ситуации в мировой экономике цены на нефть вряд ли смогут в среднесрочной перспективе удержаться на текущих уровнях. Поэтому ожидаем сохранения высокой волатильности на рынке и рекомендуем фиксировать прибыль до конца недели.  </w:t>
      </w:r>
      <w:r>
        <w:br/>
        <w:t xml:space="preserve">  </w:t>
      </w:r>
      <w:r>
        <w:br/>
        <w:t xml:space="preserve">  </w:t>
      </w:r>
      <w:r>
        <w:br/>
      </w:r>
      <w:r>
        <w:rPr>
          <w:color w:val="002060"/>
        </w:rPr>
        <w:t>Ольга Беленькая,</w:t>
      </w:r>
      <w:r>
        <w:t xml:space="preserve"> </w:t>
      </w:r>
      <w:r>
        <w:br/>
      </w:r>
      <w:r>
        <w:rPr>
          <w:color w:val="002060"/>
        </w:rPr>
        <w:t>зам. руководителя аналитического департамент</w:t>
      </w:r>
      <w:proofErr w:type="gramStart"/>
      <w:r>
        <w:rPr>
          <w:color w:val="002060"/>
        </w:rPr>
        <w:t>а</w:t>
      </w:r>
      <w:r>
        <w:t xml:space="preserve"> </w:t>
      </w:r>
      <w:r>
        <w:br/>
      </w:r>
      <w:r>
        <w:rPr>
          <w:color w:val="002060"/>
        </w:rPr>
        <w:t>ООО</w:t>
      </w:r>
      <w:proofErr w:type="gramEnd"/>
      <w:r>
        <w:rPr>
          <w:color w:val="002060"/>
        </w:rPr>
        <w:t xml:space="preserve"> "СОВЛИНК"</w:t>
      </w:r>
      <w:r>
        <w:t xml:space="preserve"> </w:t>
      </w:r>
      <w:r>
        <w:br/>
      </w:r>
    </w:p>
    <w:sectPr w:rsidR="00E9343C" w:rsidRPr="004731E1" w:rsidSect="001B7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A8AA4A4"/>
    <w:lvl w:ilvl="0">
      <w:numFmt w:val="bullet"/>
      <w:lvlText w:val="*"/>
      <w:lvlJc w:val="left"/>
    </w:lvl>
  </w:abstractNum>
  <w:num w:numId="1">
    <w:abstractNumId w:val="0"/>
    <w:lvlOverride w:ilvl="0">
      <w:lvl w:ilvl="0">
        <w:start w:val="65535"/>
        <w:numFmt w:val="bullet"/>
        <w:lvlText w:val="▲"/>
        <w:lvlJc w:val="left"/>
        <w:pPr>
          <w:ind w:left="360" w:hanging="360"/>
        </w:pPr>
        <w:rPr>
          <w:rFonts w:ascii="Arial" w:hAnsi="Arial" w:cs="Arial" w:hint="default"/>
        </w:rPr>
      </w:lvl>
    </w:lvlOverride>
  </w:num>
  <w:num w:numId="2">
    <w:abstractNumId w:val="0"/>
    <w:lvlOverride w:ilvl="0">
      <w:lvl w:ilvl="0">
        <w:start w:val="65535"/>
        <w:numFmt w:val="bullet"/>
        <w:lvlText w:val="►"/>
        <w:legacy w:legacy="1" w:legacySpace="0" w:legacyIndent="211"/>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57F72"/>
    <w:rsid w:val="000209AD"/>
    <w:rsid w:val="000379DE"/>
    <w:rsid w:val="00057F72"/>
    <w:rsid w:val="0008706A"/>
    <w:rsid w:val="000B7819"/>
    <w:rsid w:val="000F6CA7"/>
    <w:rsid w:val="001039CE"/>
    <w:rsid w:val="00113E66"/>
    <w:rsid w:val="001413F8"/>
    <w:rsid w:val="00143DA6"/>
    <w:rsid w:val="00153391"/>
    <w:rsid w:val="00183049"/>
    <w:rsid w:val="001A022F"/>
    <w:rsid w:val="001B788C"/>
    <w:rsid w:val="001E3FA5"/>
    <w:rsid w:val="00210E83"/>
    <w:rsid w:val="00260A73"/>
    <w:rsid w:val="00260B94"/>
    <w:rsid w:val="0026205D"/>
    <w:rsid w:val="00285E1B"/>
    <w:rsid w:val="002E3062"/>
    <w:rsid w:val="0030705C"/>
    <w:rsid w:val="00312EC1"/>
    <w:rsid w:val="003154E7"/>
    <w:rsid w:val="0034349A"/>
    <w:rsid w:val="00356C86"/>
    <w:rsid w:val="00357318"/>
    <w:rsid w:val="00372643"/>
    <w:rsid w:val="003972A3"/>
    <w:rsid w:val="003A349E"/>
    <w:rsid w:val="003A7911"/>
    <w:rsid w:val="003B3260"/>
    <w:rsid w:val="00421931"/>
    <w:rsid w:val="004330C2"/>
    <w:rsid w:val="00471A09"/>
    <w:rsid w:val="004731E1"/>
    <w:rsid w:val="00492D70"/>
    <w:rsid w:val="004A244F"/>
    <w:rsid w:val="004C7F1F"/>
    <w:rsid w:val="005122FD"/>
    <w:rsid w:val="005200B1"/>
    <w:rsid w:val="005473A8"/>
    <w:rsid w:val="0055271E"/>
    <w:rsid w:val="00565A11"/>
    <w:rsid w:val="0059171C"/>
    <w:rsid w:val="00594C5B"/>
    <w:rsid w:val="00594FF8"/>
    <w:rsid w:val="005D54B2"/>
    <w:rsid w:val="005F6F9D"/>
    <w:rsid w:val="00646AC8"/>
    <w:rsid w:val="00683B56"/>
    <w:rsid w:val="006E06E6"/>
    <w:rsid w:val="006E3033"/>
    <w:rsid w:val="00715860"/>
    <w:rsid w:val="00725962"/>
    <w:rsid w:val="00736F27"/>
    <w:rsid w:val="0077771C"/>
    <w:rsid w:val="0078023E"/>
    <w:rsid w:val="007F6C94"/>
    <w:rsid w:val="008657E7"/>
    <w:rsid w:val="0087341B"/>
    <w:rsid w:val="008B5892"/>
    <w:rsid w:val="008D1EC0"/>
    <w:rsid w:val="008D4310"/>
    <w:rsid w:val="0090159C"/>
    <w:rsid w:val="009138C1"/>
    <w:rsid w:val="00947B41"/>
    <w:rsid w:val="00962381"/>
    <w:rsid w:val="00963DEA"/>
    <w:rsid w:val="00993D35"/>
    <w:rsid w:val="009A0904"/>
    <w:rsid w:val="009C115B"/>
    <w:rsid w:val="009F743E"/>
    <w:rsid w:val="00A16C17"/>
    <w:rsid w:val="00A2433B"/>
    <w:rsid w:val="00A258E4"/>
    <w:rsid w:val="00A32A7E"/>
    <w:rsid w:val="00A87A81"/>
    <w:rsid w:val="00A948A5"/>
    <w:rsid w:val="00AA6FEA"/>
    <w:rsid w:val="00B024FF"/>
    <w:rsid w:val="00B262CD"/>
    <w:rsid w:val="00B269C6"/>
    <w:rsid w:val="00B32907"/>
    <w:rsid w:val="00B86348"/>
    <w:rsid w:val="00BC20D9"/>
    <w:rsid w:val="00BC3EFA"/>
    <w:rsid w:val="00BF23E1"/>
    <w:rsid w:val="00BF51DE"/>
    <w:rsid w:val="00C05EF8"/>
    <w:rsid w:val="00C10D68"/>
    <w:rsid w:val="00C26ADE"/>
    <w:rsid w:val="00C2744C"/>
    <w:rsid w:val="00C56AA0"/>
    <w:rsid w:val="00C839CC"/>
    <w:rsid w:val="00CB5A63"/>
    <w:rsid w:val="00CC6E5C"/>
    <w:rsid w:val="00CD268B"/>
    <w:rsid w:val="00CE1FE9"/>
    <w:rsid w:val="00D21C48"/>
    <w:rsid w:val="00D55C95"/>
    <w:rsid w:val="00D62B1B"/>
    <w:rsid w:val="00D84BD1"/>
    <w:rsid w:val="00DE39F0"/>
    <w:rsid w:val="00E43CB0"/>
    <w:rsid w:val="00E44C59"/>
    <w:rsid w:val="00E4703D"/>
    <w:rsid w:val="00E7056A"/>
    <w:rsid w:val="00E9343C"/>
    <w:rsid w:val="00EA7186"/>
    <w:rsid w:val="00EF7890"/>
    <w:rsid w:val="00F17865"/>
    <w:rsid w:val="00F2107B"/>
    <w:rsid w:val="00F7752A"/>
    <w:rsid w:val="00F970D5"/>
    <w:rsid w:val="00FE2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72"/>
    <w:rPr>
      <w:rFonts w:ascii="Calibri" w:hAnsi="Calibri" w:cs="Times New Roman"/>
      <w:lang w:eastAsia="ru-RU"/>
    </w:rPr>
  </w:style>
  <w:style w:type="paragraph" w:styleId="2">
    <w:name w:val="heading 2"/>
    <w:basedOn w:val="a"/>
    <w:link w:val="20"/>
    <w:uiPriority w:val="9"/>
    <w:semiHidden/>
    <w:unhideWhenUsed/>
    <w:qFormat/>
    <w:rsid w:val="00057F7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5F6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
    <w:uiPriority w:val="1"/>
    <w:qFormat/>
    <w:rsid w:val="00962381"/>
    <w:pPr>
      <w:spacing w:before="120" w:after="120" w:line="240" w:lineRule="auto"/>
      <w:jc w:val="both"/>
    </w:pPr>
    <w:rPr>
      <w:rFonts w:ascii="Times New Roman" w:hAnsi="Times New Roman" w:cs="Times New Roman"/>
      <w:color w:val="000000"/>
      <w:sz w:val="24"/>
      <w:szCs w:val="18"/>
      <w:lang w:eastAsia="ru-RU"/>
    </w:rPr>
  </w:style>
  <w:style w:type="paragraph" w:styleId="a4">
    <w:name w:val="List Paragraph"/>
    <w:aliases w:val="Мой"/>
    <w:basedOn w:val="a"/>
    <w:uiPriority w:val="34"/>
    <w:qFormat/>
    <w:rsid w:val="00962381"/>
    <w:pPr>
      <w:spacing w:before="120" w:after="120" w:line="240" w:lineRule="auto"/>
      <w:contextualSpacing/>
      <w:jc w:val="both"/>
    </w:pPr>
    <w:rPr>
      <w:rFonts w:ascii="Times New Roman" w:hAnsi="Times New Roman"/>
      <w:color w:val="000000"/>
      <w:sz w:val="24"/>
      <w:szCs w:val="18"/>
    </w:rPr>
  </w:style>
  <w:style w:type="paragraph" w:styleId="a5">
    <w:name w:val="Body Text"/>
    <w:basedOn w:val="a"/>
    <w:link w:val="a6"/>
    <w:uiPriority w:val="99"/>
    <w:semiHidden/>
    <w:unhideWhenUsed/>
    <w:rsid w:val="00962381"/>
    <w:pPr>
      <w:spacing w:after="120"/>
    </w:pPr>
  </w:style>
  <w:style w:type="character" w:customStyle="1" w:styleId="a6">
    <w:name w:val="Основной текст Знак"/>
    <w:basedOn w:val="a0"/>
    <w:link w:val="a5"/>
    <w:uiPriority w:val="99"/>
    <w:semiHidden/>
    <w:rsid w:val="00962381"/>
  </w:style>
  <w:style w:type="character" w:customStyle="1" w:styleId="20">
    <w:name w:val="Заголовок 2 Знак"/>
    <w:basedOn w:val="a0"/>
    <w:link w:val="2"/>
    <w:uiPriority w:val="9"/>
    <w:semiHidden/>
    <w:rsid w:val="00057F72"/>
    <w:rPr>
      <w:rFonts w:ascii="Calibri" w:hAnsi="Calibri" w:cs="Times New Roman"/>
      <w:b/>
      <w:bCs/>
      <w:sz w:val="36"/>
      <w:szCs w:val="36"/>
      <w:lang w:eastAsia="ru-RU"/>
    </w:rPr>
  </w:style>
  <w:style w:type="character" w:customStyle="1" w:styleId="sm4">
    <w:name w:val="sm4"/>
    <w:basedOn w:val="a0"/>
    <w:rsid w:val="00057F72"/>
  </w:style>
  <w:style w:type="character" w:customStyle="1" w:styleId="usd3">
    <w:name w:val="usd3"/>
    <w:basedOn w:val="a0"/>
    <w:rsid w:val="00057F72"/>
  </w:style>
  <w:style w:type="character" w:styleId="a7">
    <w:name w:val="Hyperlink"/>
    <w:basedOn w:val="a0"/>
    <w:uiPriority w:val="99"/>
    <w:semiHidden/>
    <w:unhideWhenUsed/>
    <w:rsid w:val="00C56AA0"/>
    <w:rPr>
      <w:color w:val="0053A0"/>
      <w:u w:val="single"/>
    </w:rPr>
  </w:style>
  <w:style w:type="paragraph" w:styleId="a8">
    <w:name w:val="Normal (Web)"/>
    <w:basedOn w:val="a"/>
    <w:uiPriority w:val="99"/>
    <w:unhideWhenUsed/>
    <w:rsid w:val="00153391"/>
    <w:pPr>
      <w:spacing w:before="150" w:after="0" w:line="240" w:lineRule="auto"/>
      <w:jc w:val="both"/>
    </w:pPr>
    <w:rPr>
      <w:rFonts w:ascii="Arial" w:hAnsi="Arial" w:cs="Arial"/>
      <w:sz w:val="24"/>
      <w:szCs w:val="24"/>
    </w:rPr>
  </w:style>
  <w:style w:type="paragraph" w:customStyle="1" w:styleId="Pa6">
    <w:name w:val="Pa6"/>
    <w:basedOn w:val="a"/>
    <w:next w:val="a"/>
    <w:uiPriority w:val="99"/>
    <w:rsid w:val="008D1EC0"/>
    <w:pPr>
      <w:autoSpaceDE w:val="0"/>
      <w:autoSpaceDN w:val="0"/>
      <w:adjustRightInd w:val="0"/>
      <w:spacing w:after="0" w:line="161" w:lineRule="atLeast"/>
    </w:pPr>
    <w:rPr>
      <w:rFonts w:ascii="Tahoma" w:hAnsi="Tahoma" w:cs="Tahoma"/>
      <w:sz w:val="24"/>
      <w:szCs w:val="24"/>
      <w:lang w:eastAsia="en-US"/>
    </w:rPr>
  </w:style>
  <w:style w:type="paragraph" w:styleId="a9">
    <w:name w:val="Plain Text"/>
    <w:basedOn w:val="a"/>
    <w:link w:val="aa"/>
    <w:uiPriority w:val="99"/>
    <w:unhideWhenUsed/>
    <w:rsid w:val="005D54B2"/>
    <w:pPr>
      <w:spacing w:after="0" w:line="240" w:lineRule="auto"/>
    </w:pPr>
    <w:rPr>
      <w:rFonts w:ascii="Consolas" w:hAnsi="Consolas"/>
      <w:sz w:val="21"/>
      <w:szCs w:val="21"/>
    </w:rPr>
  </w:style>
  <w:style w:type="character" w:customStyle="1" w:styleId="aa">
    <w:name w:val="Текст Знак"/>
    <w:basedOn w:val="a0"/>
    <w:link w:val="a9"/>
    <w:uiPriority w:val="99"/>
    <w:rsid w:val="005D54B2"/>
    <w:rPr>
      <w:rFonts w:ascii="Consolas" w:hAnsi="Consolas" w:cs="Times New Roman"/>
      <w:sz w:val="21"/>
      <w:szCs w:val="21"/>
      <w:lang w:eastAsia="ru-RU"/>
    </w:rPr>
  </w:style>
  <w:style w:type="paragraph" w:customStyle="1" w:styleId="Default">
    <w:name w:val="Default"/>
    <w:rsid w:val="003A791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rsid w:val="00210E83"/>
    <w:pPr>
      <w:tabs>
        <w:tab w:val="center" w:pos="4677"/>
        <w:tab w:val="right" w:pos="9355"/>
      </w:tabs>
      <w:spacing w:after="0" w:line="240" w:lineRule="auto"/>
    </w:pPr>
    <w:rPr>
      <w:rFonts w:ascii="Times New Roman" w:eastAsia="Times New Roman" w:hAnsi="Times New Roman"/>
      <w:sz w:val="24"/>
      <w:szCs w:val="24"/>
    </w:rPr>
  </w:style>
  <w:style w:type="character" w:customStyle="1" w:styleId="ac">
    <w:name w:val="Верхний колонтитул Знак"/>
    <w:basedOn w:val="a0"/>
    <w:link w:val="ab"/>
    <w:rsid w:val="00210E83"/>
    <w:rPr>
      <w:rFonts w:ascii="Times New Roman" w:eastAsia="Times New Roman" w:hAnsi="Times New Roman" w:cs="Times New Roman"/>
      <w:sz w:val="24"/>
      <w:szCs w:val="24"/>
      <w:lang w:eastAsia="ru-RU"/>
    </w:rPr>
  </w:style>
  <w:style w:type="character" w:customStyle="1" w:styleId="apple-style-span">
    <w:name w:val="apple-style-span"/>
    <w:basedOn w:val="a0"/>
    <w:rsid w:val="0034349A"/>
  </w:style>
  <w:style w:type="character" w:customStyle="1" w:styleId="30">
    <w:name w:val="Заголовок 3 Знак"/>
    <w:basedOn w:val="a0"/>
    <w:link w:val="3"/>
    <w:uiPriority w:val="9"/>
    <w:semiHidden/>
    <w:rsid w:val="005F6F9D"/>
    <w:rPr>
      <w:rFonts w:asciiTheme="majorHAnsi" w:eastAsiaTheme="majorEastAsia" w:hAnsiTheme="majorHAnsi" w:cstheme="majorBidi"/>
      <w:b/>
      <w:bCs/>
      <w:color w:val="4F81BD" w:themeColor="accent1"/>
      <w:lang w:eastAsia="ru-RU"/>
    </w:rPr>
  </w:style>
  <w:style w:type="paragraph" w:customStyle="1" w:styleId="default0">
    <w:name w:val="default"/>
    <w:basedOn w:val="a"/>
    <w:rsid w:val="005200B1"/>
    <w:pPr>
      <w:spacing w:before="100" w:beforeAutospacing="1" w:after="100" w:afterAutospacing="1" w:line="240" w:lineRule="auto"/>
    </w:pPr>
    <w:rPr>
      <w:rFonts w:ascii="Times New Roman" w:hAnsi="Times New Roman"/>
      <w:color w:val="000000"/>
      <w:sz w:val="24"/>
      <w:szCs w:val="24"/>
    </w:rPr>
  </w:style>
  <w:style w:type="paragraph" w:styleId="ad">
    <w:name w:val="Balloon Text"/>
    <w:basedOn w:val="a"/>
    <w:link w:val="ae"/>
    <w:uiPriority w:val="99"/>
    <w:semiHidden/>
    <w:unhideWhenUsed/>
    <w:rsid w:val="005473A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73A8"/>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6483367">
      <w:bodyDiv w:val="1"/>
      <w:marLeft w:val="0"/>
      <w:marRight w:val="0"/>
      <w:marTop w:val="0"/>
      <w:marBottom w:val="0"/>
      <w:divBdr>
        <w:top w:val="none" w:sz="0" w:space="0" w:color="auto"/>
        <w:left w:val="none" w:sz="0" w:space="0" w:color="auto"/>
        <w:bottom w:val="none" w:sz="0" w:space="0" w:color="auto"/>
        <w:right w:val="none" w:sz="0" w:space="0" w:color="auto"/>
      </w:divBdr>
      <w:divsChild>
        <w:div w:id="1295909732">
          <w:marLeft w:val="0"/>
          <w:marRight w:val="0"/>
          <w:marTop w:val="0"/>
          <w:marBottom w:val="0"/>
          <w:divBdr>
            <w:top w:val="none" w:sz="0" w:space="0" w:color="auto"/>
            <w:left w:val="none" w:sz="0" w:space="0" w:color="auto"/>
            <w:bottom w:val="none" w:sz="0" w:space="0" w:color="auto"/>
            <w:right w:val="none" w:sz="0" w:space="0" w:color="auto"/>
          </w:divBdr>
          <w:divsChild>
            <w:div w:id="465659946">
              <w:marLeft w:val="0"/>
              <w:marRight w:val="0"/>
              <w:marTop w:val="0"/>
              <w:marBottom w:val="0"/>
              <w:divBdr>
                <w:top w:val="none" w:sz="0" w:space="0" w:color="auto"/>
                <w:left w:val="none" w:sz="0" w:space="0" w:color="auto"/>
                <w:bottom w:val="none" w:sz="0" w:space="0" w:color="auto"/>
                <w:right w:val="none" w:sz="0" w:space="0" w:color="auto"/>
              </w:divBdr>
              <w:divsChild>
                <w:div w:id="924460425">
                  <w:marLeft w:val="0"/>
                  <w:marRight w:val="3420"/>
                  <w:marTop w:val="0"/>
                  <w:marBottom w:val="0"/>
                  <w:divBdr>
                    <w:top w:val="none" w:sz="0" w:space="0" w:color="auto"/>
                    <w:left w:val="none" w:sz="0" w:space="0" w:color="auto"/>
                    <w:bottom w:val="none" w:sz="0" w:space="0" w:color="auto"/>
                    <w:right w:val="none" w:sz="0" w:space="0" w:color="auto"/>
                  </w:divBdr>
                  <w:divsChild>
                    <w:div w:id="460853724">
                      <w:marLeft w:val="0"/>
                      <w:marRight w:val="0"/>
                      <w:marTop w:val="0"/>
                      <w:marBottom w:val="0"/>
                      <w:divBdr>
                        <w:top w:val="none" w:sz="0" w:space="0" w:color="auto"/>
                        <w:left w:val="none" w:sz="0" w:space="0" w:color="auto"/>
                        <w:bottom w:val="none" w:sz="0" w:space="0" w:color="auto"/>
                        <w:right w:val="none" w:sz="0" w:space="0" w:color="auto"/>
                      </w:divBdr>
                      <w:divsChild>
                        <w:div w:id="293683125">
                          <w:marLeft w:val="623"/>
                          <w:marRight w:val="0"/>
                          <w:marTop w:val="2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12907">
      <w:bodyDiv w:val="1"/>
      <w:marLeft w:val="0"/>
      <w:marRight w:val="0"/>
      <w:marTop w:val="0"/>
      <w:marBottom w:val="0"/>
      <w:divBdr>
        <w:top w:val="none" w:sz="0" w:space="0" w:color="auto"/>
        <w:left w:val="none" w:sz="0" w:space="0" w:color="auto"/>
        <w:bottom w:val="none" w:sz="0" w:space="0" w:color="auto"/>
        <w:right w:val="none" w:sz="0" w:space="0" w:color="auto"/>
      </w:divBdr>
    </w:div>
    <w:div w:id="189685184">
      <w:bodyDiv w:val="1"/>
      <w:marLeft w:val="0"/>
      <w:marRight w:val="0"/>
      <w:marTop w:val="0"/>
      <w:marBottom w:val="0"/>
      <w:divBdr>
        <w:top w:val="none" w:sz="0" w:space="0" w:color="auto"/>
        <w:left w:val="none" w:sz="0" w:space="0" w:color="auto"/>
        <w:bottom w:val="none" w:sz="0" w:space="0" w:color="auto"/>
        <w:right w:val="none" w:sz="0" w:space="0" w:color="auto"/>
      </w:divBdr>
    </w:div>
    <w:div w:id="222109848">
      <w:bodyDiv w:val="1"/>
      <w:marLeft w:val="0"/>
      <w:marRight w:val="0"/>
      <w:marTop w:val="0"/>
      <w:marBottom w:val="0"/>
      <w:divBdr>
        <w:top w:val="none" w:sz="0" w:space="0" w:color="auto"/>
        <w:left w:val="none" w:sz="0" w:space="0" w:color="auto"/>
        <w:bottom w:val="none" w:sz="0" w:space="0" w:color="auto"/>
        <w:right w:val="none" w:sz="0" w:space="0" w:color="auto"/>
      </w:divBdr>
    </w:div>
    <w:div w:id="419721688">
      <w:bodyDiv w:val="1"/>
      <w:marLeft w:val="0"/>
      <w:marRight w:val="0"/>
      <w:marTop w:val="0"/>
      <w:marBottom w:val="0"/>
      <w:divBdr>
        <w:top w:val="none" w:sz="0" w:space="0" w:color="auto"/>
        <w:left w:val="none" w:sz="0" w:space="0" w:color="auto"/>
        <w:bottom w:val="none" w:sz="0" w:space="0" w:color="auto"/>
        <w:right w:val="none" w:sz="0" w:space="0" w:color="auto"/>
      </w:divBdr>
    </w:div>
    <w:div w:id="446971521">
      <w:bodyDiv w:val="1"/>
      <w:marLeft w:val="0"/>
      <w:marRight w:val="0"/>
      <w:marTop w:val="0"/>
      <w:marBottom w:val="0"/>
      <w:divBdr>
        <w:top w:val="none" w:sz="0" w:space="0" w:color="auto"/>
        <w:left w:val="none" w:sz="0" w:space="0" w:color="auto"/>
        <w:bottom w:val="none" w:sz="0" w:space="0" w:color="auto"/>
        <w:right w:val="none" w:sz="0" w:space="0" w:color="auto"/>
      </w:divBdr>
    </w:div>
    <w:div w:id="542987893">
      <w:bodyDiv w:val="1"/>
      <w:marLeft w:val="0"/>
      <w:marRight w:val="0"/>
      <w:marTop w:val="0"/>
      <w:marBottom w:val="0"/>
      <w:divBdr>
        <w:top w:val="none" w:sz="0" w:space="0" w:color="auto"/>
        <w:left w:val="none" w:sz="0" w:space="0" w:color="auto"/>
        <w:bottom w:val="none" w:sz="0" w:space="0" w:color="auto"/>
        <w:right w:val="none" w:sz="0" w:space="0" w:color="auto"/>
      </w:divBdr>
    </w:div>
    <w:div w:id="614941548">
      <w:bodyDiv w:val="1"/>
      <w:marLeft w:val="0"/>
      <w:marRight w:val="0"/>
      <w:marTop w:val="0"/>
      <w:marBottom w:val="0"/>
      <w:divBdr>
        <w:top w:val="none" w:sz="0" w:space="0" w:color="auto"/>
        <w:left w:val="none" w:sz="0" w:space="0" w:color="auto"/>
        <w:bottom w:val="none" w:sz="0" w:space="0" w:color="auto"/>
        <w:right w:val="none" w:sz="0" w:space="0" w:color="auto"/>
      </w:divBdr>
    </w:div>
    <w:div w:id="629285447">
      <w:bodyDiv w:val="1"/>
      <w:marLeft w:val="0"/>
      <w:marRight w:val="0"/>
      <w:marTop w:val="0"/>
      <w:marBottom w:val="0"/>
      <w:divBdr>
        <w:top w:val="none" w:sz="0" w:space="0" w:color="auto"/>
        <w:left w:val="none" w:sz="0" w:space="0" w:color="auto"/>
        <w:bottom w:val="none" w:sz="0" w:space="0" w:color="auto"/>
        <w:right w:val="none" w:sz="0" w:space="0" w:color="auto"/>
      </w:divBdr>
    </w:div>
    <w:div w:id="635837079">
      <w:bodyDiv w:val="1"/>
      <w:marLeft w:val="0"/>
      <w:marRight w:val="0"/>
      <w:marTop w:val="0"/>
      <w:marBottom w:val="0"/>
      <w:divBdr>
        <w:top w:val="none" w:sz="0" w:space="0" w:color="auto"/>
        <w:left w:val="none" w:sz="0" w:space="0" w:color="auto"/>
        <w:bottom w:val="none" w:sz="0" w:space="0" w:color="auto"/>
        <w:right w:val="none" w:sz="0" w:space="0" w:color="auto"/>
      </w:divBdr>
    </w:div>
    <w:div w:id="662709901">
      <w:bodyDiv w:val="1"/>
      <w:marLeft w:val="0"/>
      <w:marRight w:val="0"/>
      <w:marTop w:val="0"/>
      <w:marBottom w:val="0"/>
      <w:divBdr>
        <w:top w:val="none" w:sz="0" w:space="0" w:color="auto"/>
        <w:left w:val="none" w:sz="0" w:space="0" w:color="auto"/>
        <w:bottom w:val="none" w:sz="0" w:space="0" w:color="auto"/>
        <w:right w:val="none" w:sz="0" w:space="0" w:color="auto"/>
      </w:divBdr>
    </w:div>
    <w:div w:id="704253876">
      <w:bodyDiv w:val="1"/>
      <w:marLeft w:val="0"/>
      <w:marRight w:val="0"/>
      <w:marTop w:val="0"/>
      <w:marBottom w:val="0"/>
      <w:divBdr>
        <w:top w:val="none" w:sz="0" w:space="0" w:color="auto"/>
        <w:left w:val="none" w:sz="0" w:space="0" w:color="auto"/>
        <w:bottom w:val="none" w:sz="0" w:space="0" w:color="auto"/>
        <w:right w:val="none" w:sz="0" w:space="0" w:color="auto"/>
      </w:divBdr>
    </w:div>
    <w:div w:id="728113672">
      <w:bodyDiv w:val="1"/>
      <w:marLeft w:val="0"/>
      <w:marRight w:val="0"/>
      <w:marTop w:val="0"/>
      <w:marBottom w:val="0"/>
      <w:divBdr>
        <w:top w:val="none" w:sz="0" w:space="0" w:color="auto"/>
        <w:left w:val="none" w:sz="0" w:space="0" w:color="auto"/>
        <w:bottom w:val="none" w:sz="0" w:space="0" w:color="auto"/>
        <w:right w:val="none" w:sz="0" w:space="0" w:color="auto"/>
      </w:divBdr>
    </w:div>
    <w:div w:id="750465560">
      <w:bodyDiv w:val="1"/>
      <w:marLeft w:val="0"/>
      <w:marRight w:val="0"/>
      <w:marTop w:val="0"/>
      <w:marBottom w:val="0"/>
      <w:divBdr>
        <w:top w:val="none" w:sz="0" w:space="0" w:color="auto"/>
        <w:left w:val="none" w:sz="0" w:space="0" w:color="auto"/>
        <w:bottom w:val="none" w:sz="0" w:space="0" w:color="auto"/>
        <w:right w:val="none" w:sz="0" w:space="0" w:color="auto"/>
      </w:divBdr>
    </w:div>
    <w:div w:id="933903896">
      <w:bodyDiv w:val="1"/>
      <w:marLeft w:val="0"/>
      <w:marRight w:val="0"/>
      <w:marTop w:val="0"/>
      <w:marBottom w:val="0"/>
      <w:divBdr>
        <w:top w:val="none" w:sz="0" w:space="0" w:color="auto"/>
        <w:left w:val="none" w:sz="0" w:space="0" w:color="auto"/>
        <w:bottom w:val="none" w:sz="0" w:space="0" w:color="auto"/>
        <w:right w:val="none" w:sz="0" w:space="0" w:color="auto"/>
      </w:divBdr>
    </w:div>
    <w:div w:id="1050034281">
      <w:bodyDiv w:val="1"/>
      <w:marLeft w:val="0"/>
      <w:marRight w:val="0"/>
      <w:marTop w:val="0"/>
      <w:marBottom w:val="0"/>
      <w:divBdr>
        <w:top w:val="none" w:sz="0" w:space="0" w:color="auto"/>
        <w:left w:val="none" w:sz="0" w:space="0" w:color="auto"/>
        <w:bottom w:val="none" w:sz="0" w:space="0" w:color="auto"/>
        <w:right w:val="none" w:sz="0" w:space="0" w:color="auto"/>
      </w:divBdr>
    </w:div>
    <w:div w:id="1081096886">
      <w:bodyDiv w:val="1"/>
      <w:marLeft w:val="0"/>
      <w:marRight w:val="0"/>
      <w:marTop w:val="0"/>
      <w:marBottom w:val="0"/>
      <w:divBdr>
        <w:top w:val="none" w:sz="0" w:space="0" w:color="auto"/>
        <w:left w:val="none" w:sz="0" w:space="0" w:color="auto"/>
        <w:bottom w:val="none" w:sz="0" w:space="0" w:color="auto"/>
        <w:right w:val="none" w:sz="0" w:space="0" w:color="auto"/>
      </w:divBdr>
    </w:div>
    <w:div w:id="1219780861">
      <w:bodyDiv w:val="1"/>
      <w:marLeft w:val="0"/>
      <w:marRight w:val="0"/>
      <w:marTop w:val="0"/>
      <w:marBottom w:val="0"/>
      <w:divBdr>
        <w:top w:val="none" w:sz="0" w:space="0" w:color="auto"/>
        <w:left w:val="none" w:sz="0" w:space="0" w:color="auto"/>
        <w:bottom w:val="none" w:sz="0" w:space="0" w:color="auto"/>
        <w:right w:val="none" w:sz="0" w:space="0" w:color="auto"/>
      </w:divBdr>
    </w:div>
    <w:div w:id="1360618738">
      <w:bodyDiv w:val="1"/>
      <w:marLeft w:val="0"/>
      <w:marRight w:val="0"/>
      <w:marTop w:val="0"/>
      <w:marBottom w:val="0"/>
      <w:divBdr>
        <w:top w:val="none" w:sz="0" w:space="0" w:color="auto"/>
        <w:left w:val="none" w:sz="0" w:space="0" w:color="auto"/>
        <w:bottom w:val="none" w:sz="0" w:space="0" w:color="auto"/>
        <w:right w:val="none" w:sz="0" w:space="0" w:color="auto"/>
      </w:divBdr>
    </w:div>
    <w:div w:id="1369063657">
      <w:bodyDiv w:val="1"/>
      <w:marLeft w:val="0"/>
      <w:marRight w:val="0"/>
      <w:marTop w:val="0"/>
      <w:marBottom w:val="0"/>
      <w:divBdr>
        <w:top w:val="none" w:sz="0" w:space="0" w:color="auto"/>
        <w:left w:val="none" w:sz="0" w:space="0" w:color="auto"/>
        <w:bottom w:val="none" w:sz="0" w:space="0" w:color="auto"/>
        <w:right w:val="none" w:sz="0" w:space="0" w:color="auto"/>
      </w:divBdr>
    </w:div>
    <w:div w:id="1457529518">
      <w:bodyDiv w:val="1"/>
      <w:marLeft w:val="0"/>
      <w:marRight w:val="0"/>
      <w:marTop w:val="0"/>
      <w:marBottom w:val="0"/>
      <w:divBdr>
        <w:top w:val="none" w:sz="0" w:space="0" w:color="auto"/>
        <w:left w:val="none" w:sz="0" w:space="0" w:color="auto"/>
        <w:bottom w:val="none" w:sz="0" w:space="0" w:color="auto"/>
        <w:right w:val="none" w:sz="0" w:space="0" w:color="auto"/>
      </w:divBdr>
    </w:div>
    <w:div w:id="1501890543">
      <w:bodyDiv w:val="1"/>
      <w:marLeft w:val="0"/>
      <w:marRight w:val="0"/>
      <w:marTop w:val="0"/>
      <w:marBottom w:val="0"/>
      <w:divBdr>
        <w:top w:val="none" w:sz="0" w:space="0" w:color="auto"/>
        <w:left w:val="none" w:sz="0" w:space="0" w:color="auto"/>
        <w:bottom w:val="none" w:sz="0" w:space="0" w:color="auto"/>
        <w:right w:val="none" w:sz="0" w:space="0" w:color="auto"/>
      </w:divBdr>
    </w:div>
    <w:div w:id="1535312949">
      <w:bodyDiv w:val="1"/>
      <w:marLeft w:val="0"/>
      <w:marRight w:val="0"/>
      <w:marTop w:val="0"/>
      <w:marBottom w:val="0"/>
      <w:divBdr>
        <w:top w:val="none" w:sz="0" w:space="0" w:color="auto"/>
        <w:left w:val="none" w:sz="0" w:space="0" w:color="auto"/>
        <w:bottom w:val="none" w:sz="0" w:space="0" w:color="auto"/>
        <w:right w:val="none" w:sz="0" w:space="0" w:color="auto"/>
      </w:divBdr>
    </w:div>
    <w:div w:id="1537112507">
      <w:bodyDiv w:val="1"/>
      <w:marLeft w:val="0"/>
      <w:marRight w:val="0"/>
      <w:marTop w:val="0"/>
      <w:marBottom w:val="0"/>
      <w:divBdr>
        <w:top w:val="none" w:sz="0" w:space="0" w:color="auto"/>
        <w:left w:val="none" w:sz="0" w:space="0" w:color="auto"/>
        <w:bottom w:val="none" w:sz="0" w:space="0" w:color="auto"/>
        <w:right w:val="none" w:sz="0" w:space="0" w:color="auto"/>
      </w:divBdr>
    </w:div>
    <w:div w:id="1544978226">
      <w:bodyDiv w:val="1"/>
      <w:marLeft w:val="0"/>
      <w:marRight w:val="0"/>
      <w:marTop w:val="0"/>
      <w:marBottom w:val="0"/>
      <w:divBdr>
        <w:top w:val="none" w:sz="0" w:space="0" w:color="auto"/>
        <w:left w:val="none" w:sz="0" w:space="0" w:color="auto"/>
        <w:bottom w:val="none" w:sz="0" w:space="0" w:color="auto"/>
        <w:right w:val="none" w:sz="0" w:space="0" w:color="auto"/>
      </w:divBdr>
    </w:div>
    <w:div w:id="1594240842">
      <w:bodyDiv w:val="1"/>
      <w:marLeft w:val="0"/>
      <w:marRight w:val="0"/>
      <w:marTop w:val="0"/>
      <w:marBottom w:val="0"/>
      <w:divBdr>
        <w:top w:val="none" w:sz="0" w:space="0" w:color="auto"/>
        <w:left w:val="none" w:sz="0" w:space="0" w:color="auto"/>
        <w:bottom w:val="none" w:sz="0" w:space="0" w:color="auto"/>
        <w:right w:val="none" w:sz="0" w:space="0" w:color="auto"/>
      </w:divBdr>
    </w:div>
    <w:div w:id="1674911322">
      <w:bodyDiv w:val="1"/>
      <w:marLeft w:val="0"/>
      <w:marRight w:val="0"/>
      <w:marTop w:val="0"/>
      <w:marBottom w:val="0"/>
      <w:divBdr>
        <w:top w:val="none" w:sz="0" w:space="0" w:color="auto"/>
        <w:left w:val="none" w:sz="0" w:space="0" w:color="auto"/>
        <w:bottom w:val="none" w:sz="0" w:space="0" w:color="auto"/>
        <w:right w:val="none" w:sz="0" w:space="0" w:color="auto"/>
      </w:divBdr>
    </w:div>
    <w:div w:id="1749156888">
      <w:bodyDiv w:val="1"/>
      <w:marLeft w:val="0"/>
      <w:marRight w:val="0"/>
      <w:marTop w:val="0"/>
      <w:marBottom w:val="0"/>
      <w:divBdr>
        <w:top w:val="none" w:sz="0" w:space="0" w:color="auto"/>
        <w:left w:val="none" w:sz="0" w:space="0" w:color="auto"/>
        <w:bottom w:val="none" w:sz="0" w:space="0" w:color="auto"/>
        <w:right w:val="none" w:sz="0" w:space="0" w:color="auto"/>
      </w:divBdr>
    </w:div>
    <w:div w:id="1820489235">
      <w:bodyDiv w:val="1"/>
      <w:marLeft w:val="0"/>
      <w:marRight w:val="0"/>
      <w:marTop w:val="0"/>
      <w:marBottom w:val="0"/>
      <w:divBdr>
        <w:top w:val="none" w:sz="0" w:space="0" w:color="auto"/>
        <w:left w:val="none" w:sz="0" w:space="0" w:color="auto"/>
        <w:bottom w:val="none" w:sz="0" w:space="0" w:color="auto"/>
        <w:right w:val="none" w:sz="0" w:space="0" w:color="auto"/>
      </w:divBdr>
    </w:div>
    <w:div w:id="1928536089">
      <w:bodyDiv w:val="1"/>
      <w:marLeft w:val="0"/>
      <w:marRight w:val="0"/>
      <w:marTop w:val="0"/>
      <w:marBottom w:val="0"/>
      <w:divBdr>
        <w:top w:val="none" w:sz="0" w:space="0" w:color="auto"/>
        <w:left w:val="none" w:sz="0" w:space="0" w:color="auto"/>
        <w:bottom w:val="none" w:sz="0" w:space="0" w:color="auto"/>
        <w:right w:val="none" w:sz="0" w:space="0" w:color="auto"/>
      </w:divBdr>
    </w:div>
    <w:div w:id="1931346854">
      <w:bodyDiv w:val="1"/>
      <w:marLeft w:val="0"/>
      <w:marRight w:val="0"/>
      <w:marTop w:val="0"/>
      <w:marBottom w:val="0"/>
      <w:divBdr>
        <w:top w:val="none" w:sz="0" w:space="0" w:color="auto"/>
        <w:left w:val="none" w:sz="0" w:space="0" w:color="auto"/>
        <w:bottom w:val="none" w:sz="0" w:space="0" w:color="auto"/>
        <w:right w:val="none" w:sz="0" w:space="0" w:color="auto"/>
      </w:divBdr>
    </w:div>
    <w:div w:id="1935430546">
      <w:bodyDiv w:val="1"/>
      <w:marLeft w:val="0"/>
      <w:marRight w:val="0"/>
      <w:marTop w:val="0"/>
      <w:marBottom w:val="0"/>
      <w:divBdr>
        <w:top w:val="none" w:sz="0" w:space="0" w:color="auto"/>
        <w:left w:val="none" w:sz="0" w:space="0" w:color="auto"/>
        <w:bottom w:val="none" w:sz="0" w:space="0" w:color="auto"/>
        <w:right w:val="none" w:sz="0" w:space="0" w:color="auto"/>
      </w:divBdr>
    </w:div>
    <w:div w:id="2048331987">
      <w:bodyDiv w:val="1"/>
      <w:marLeft w:val="0"/>
      <w:marRight w:val="0"/>
      <w:marTop w:val="0"/>
      <w:marBottom w:val="0"/>
      <w:divBdr>
        <w:top w:val="none" w:sz="0" w:space="0" w:color="auto"/>
        <w:left w:val="none" w:sz="0" w:space="0" w:color="auto"/>
        <w:bottom w:val="none" w:sz="0" w:space="0" w:color="auto"/>
        <w:right w:val="none" w:sz="0" w:space="0" w:color="auto"/>
      </w:divBdr>
    </w:div>
    <w:div w:id="2056273251">
      <w:bodyDiv w:val="1"/>
      <w:marLeft w:val="0"/>
      <w:marRight w:val="0"/>
      <w:marTop w:val="0"/>
      <w:marBottom w:val="0"/>
      <w:divBdr>
        <w:top w:val="none" w:sz="0" w:space="0" w:color="auto"/>
        <w:left w:val="none" w:sz="0" w:space="0" w:color="auto"/>
        <w:bottom w:val="none" w:sz="0" w:space="0" w:color="auto"/>
        <w:right w:val="none" w:sz="0" w:space="0" w:color="auto"/>
      </w:divBdr>
    </w:div>
    <w:div w:id="2108041634">
      <w:bodyDiv w:val="1"/>
      <w:marLeft w:val="0"/>
      <w:marRight w:val="0"/>
      <w:marTop w:val="0"/>
      <w:marBottom w:val="0"/>
      <w:divBdr>
        <w:top w:val="none" w:sz="0" w:space="0" w:color="auto"/>
        <w:left w:val="none" w:sz="0" w:space="0" w:color="auto"/>
        <w:bottom w:val="none" w:sz="0" w:space="0" w:color="auto"/>
        <w:right w:val="none" w:sz="0" w:space="0" w:color="auto"/>
      </w:divBdr>
    </w:div>
    <w:div w:id="2123260613">
      <w:bodyDiv w:val="1"/>
      <w:marLeft w:val="0"/>
      <w:marRight w:val="0"/>
      <w:marTop w:val="0"/>
      <w:marBottom w:val="0"/>
      <w:divBdr>
        <w:top w:val="none" w:sz="0" w:space="0" w:color="auto"/>
        <w:left w:val="none" w:sz="0" w:space="0" w:color="auto"/>
        <w:bottom w:val="none" w:sz="0" w:space="0" w:color="auto"/>
        <w:right w:val="none" w:sz="0" w:space="0" w:color="auto"/>
      </w:divBdr>
    </w:div>
    <w:div w:id="212515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ovoronina</dc:creator>
  <cp:keywords/>
  <dc:description/>
  <cp:lastModifiedBy>ovoronina</cp:lastModifiedBy>
  <cp:revision>2</cp:revision>
  <dcterms:created xsi:type="dcterms:W3CDTF">2011-10-17T06:49:00Z</dcterms:created>
  <dcterms:modified xsi:type="dcterms:W3CDTF">2011-10-17T06:49:00Z</dcterms:modified>
</cp:coreProperties>
</file>