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94" w:rsidRDefault="00900B94" w:rsidP="00900B94">
      <w:pPr>
        <w:pStyle w:val="a3"/>
      </w:pPr>
      <w:r>
        <w:t>Российский рынок в мировых лидерах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>2011 г. мировые фондовые рынки начали с хороших темпов роста. В первой половине января фондовые индексы развитых стран прибавили 2-5% относительно уровней закрытия прошлого года, развивающиеся в среднем 2,5%.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 xml:space="preserve">Последние данные EPFR подтверждают высказанное нами ранее мнение о том, что </w:t>
      </w:r>
      <w:proofErr w:type="gramStart"/>
      <w:r>
        <w:t>менее рисковые</w:t>
      </w:r>
      <w:proofErr w:type="gramEnd"/>
      <w:r>
        <w:t xml:space="preserve"> инвесторы, воздерживавшиеся от покупок в период рождественских и новогодних каникул, начали направлять средства на фондовые рынки. Причем в начале нового года инвесторы по-прежнему благоволят фондам акций.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 xml:space="preserve">Так, по данным EPFR, денежные средства, аккумулированные в конце года, в начале 2011 г. начали поступать в фонды акций. В 22 из 24 основных фондов акций зафиксирован приток средств. Фонды облигаций и отраслевые фонды также зафиксировали приток средств на фоне улучшения макроэкономических показателей и показателей рынка труда в США. Но </w:t>
      </w:r>
      <w:proofErr w:type="gramStart"/>
      <w:r>
        <w:t>инвесторы</w:t>
      </w:r>
      <w:proofErr w:type="gramEnd"/>
      <w:r>
        <w:t xml:space="preserve"> в общем и целом придерживаются модели инвестирования, популярной в конце прошлого года, с приоритетами на рынке акций.</w:t>
      </w:r>
    </w:p>
    <w:p w:rsidR="00E543A5" w:rsidRDefault="00E543A5" w:rsidP="00900B94">
      <w:pPr>
        <w:pStyle w:val="a3"/>
      </w:pPr>
    </w:p>
    <w:p w:rsidR="00900B94" w:rsidRDefault="00900B94" w:rsidP="00900B94">
      <w:pPr>
        <w:pStyle w:val="a3"/>
      </w:pPr>
      <w:proofErr w:type="gramStart"/>
      <w:r>
        <w:t xml:space="preserve">В общей сложности, фонды акций, отслеживаемые EPFR, в первую неделю января зафиксировали приток в 9,2 млрд. долл., из которых фонды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абсорбировали 3,3 млрд. долл., в то время как фонды облигаций привлекли максимальный объем за последние 8 недель в 2,6 млрд. долл. Из денежных фондов было изъято 14,8 млрд. долл. Каждый из крупнейших групп фондов, которые испытали рекордный</w:t>
      </w:r>
      <w:proofErr w:type="gramEnd"/>
      <w:r>
        <w:t xml:space="preserve"> приток средств 2010 г., начали 2011 г.</w:t>
      </w:r>
      <w:r w:rsidR="00E543A5">
        <w:t xml:space="preserve"> </w:t>
      </w:r>
      <w:r>
        <w:t xml:space="preserve">также с притока ресурсов: это  диверсифицированные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 w:rsidRPr="00E543A5">
        <w:t>(</w:t>
      </w:r>
      <w:r w:rsidRPr="00900B94">
        <w:rPr>
          <w:lang w:val="en-US"/>
        </w:rPr>
        <w:t>GEM</w:t>
      </w:r>
      <w:r w:rsidRPr="00E543A5">
        <w:t xml:space="preserve">) </w:t>
      </w:r>
      <w:r w:rsidRPr="00900B94">
        <w:rPr>
          <w:lang w:val="en-US"/>
        </w:rPr>
        <w:t>Equity</w:t>
      </w:r>
      <w:r w:rsidRPr="00E543A5">
        <w:t xml:space="preserve"> </w:t>
      </w:r>
      <w:r w:rsidRPr="00900B94">
        <w:rPr>
          <w:lang w:val="en-US"/>
        </w:rPr>
        <w:t>Funds</w:t>
      </w:r>
      <w:r w:rsidRPr="00E543A5">
        <w:t xml:space="preserve">, </w:t>
      </w:r>
      <w:r w:rsidRPr="00900B94">
        <w:rPr>
          <w:lang w:val="en-US"/>
        </w:rPr>
        <w:t>Emerging</w:t>
      </w:r>
      <w:r w:rsidRPr="00E543A5">
        <w:t xml:space="preserve"> </w:t>
      </w:r>
      <w:r w:rsidRPr="00900B94">
        <w:rPr>
          <w:lang w:val="en-US"/>
        </w:rPr>
        <w:t>Markets</w:t>
      </w:r>
      <w:r w:rsidRPr="00E543A5">
        <w:t xml:space="preserve"> </w:t>
      </w:r>
      <w:r>
        <w:t>и</w:t>
      </w:r>
      <w:r w:rsidRPr="00E543A5">
        <w:t xml:space="preserve"> </w:t>
      </w:r>
      <w:r w:rsidRPr="00900B94">
        <w:rPr>
          <w:lang w:val="en-US"/>
        </w:rPr>
        <w:t>Global</w:t>
      </w:r>
      <w:r w:rsidRPr="00E543A5">
        <w:t xml:space="preserve"> </w:t>
      </w:r>
      <w:r w:rsidRPr="00900B94">
        <w:rPr>
          <w:lang w:val="en-US"/>
        </w:rPr>
        <w:t>Bond</w:t>
      </w:r>
      <w:r w:rsidRPr="00E543A5">
        <w:t xml:space="preserve"> </w:t>
      </w:r>
      <w:r w:rsidRPr="00900B94">
        <w:rPr>
          <w:lang w:val="en-US"/>
        </w:rPr>
        <w:t>Funds</w:t>
      </w:r>
      <w:r w:rsidRPr="00E543A5">
        <w:t xml:space="preserve">, </w:t>
      </w:r>
      <w:r w:rsidRPr="00900B94">
        <w:rPr>
          <w:lang w:val="en-US"/>
        </w:rPr>
        <w:t>Commodity</w:t>
      </w:r>
      <w:r w:rsidRPr="00E543A5">
        <w:t xml:space="preserve">, </w:t>
      </w:r>
      <w:r w:rsidRPr="00900B94">
        <w:rPr>
          <w:lang w:val="en-US"/>
        </w:rPr>
        <w:t>Consumer</w:t>
      </w:r>
      <w:r w:rsidRPr="00E543A5">
        <w:t xml:space="preserve"> </w:t>
      </w:r>
      <w:r w:rsidRPr="00900B94">
        <w:rPr>
          <w:lang w:val="en-US"/>
        </w:rPr>
        <w:t>Goods</w:t>
      </w:r>
      <w:r w:rsidRPr="00E543A5">
        <w:t xml:space="preserve"> </w:t>
      </w:r>
      <w:r>
        <w:t>и</w:t>
      </w:r>
      <w:r w:rsidRPr="00E543A5">
        <w:t xml:space="preserve"> </w:t>
      </w:r>
      <w:r w:rsidRPr="00900B94">
        <w:rPr>
          <w:lang w:val="en-US"/>
        </w:rPr>
        <w:t>Real</w:t>
      </w:r>
      <w:r w:rsidRPr="00E543A5">
        <w:t xml:space="preserve"> </w:t>
      </w:r>
      <w:r w:rsidRPr="00900B94">
        <w:rPr>
          <w:lang w:val="en-US"/>
        </w:rPr>
        <w:t>Estate</w:t>
      </w:r>
      <w:r w:rsidRPr="00E543A5">
        <w:t xml:space="preserve"> </w:t>
      </w:r>
      <w:r w:rsidRPr="00900B94">
        <w:rPr>
          <w:lang w:val="en-US"/>
        </w:rPr>
        <w:t>Sector</w:t>
      </w:r>
      <w:r w:rsidRPr="00E543A5">
        <w:t xml:space="preserve"> </w:t>
      </w:r>
      <w:r w:rsidRPr="00900B94">
        <w:rPr>
          <w:lang w:val="en-US"/>
        </w:rPr>
        <w:t>Funds</w:t>
      </w:r>
      <w:r w:rsidRPr="00E543A5">
        <w:t xml:space="preserve"> </w:t>
      </w:r>
      <w:r>
        <w:t>и</w:t>
      </w:r>
      <w:r w:rsidRPr="00E543A5">
        <w:t xml:space="preserve"> </w:t>
      </w:r>
      <w:r w:rsidRPr="00900B94">
        <w:rPr>
          <w:lang w:val="en-US"/>
        </w:rPr>
        <w:t>Africa</w:t>
      </w:r>
      <w:r w:rsidRPr="00E543A5">
        <w:t xml:space="preserve"> </w:t>
      </w:r>
      <w:r w:rsidRPr="00900B94">
        <w:rPr>
          <w:lang w:val="en-US"/>
        </w:rPr>
        <w:t>Regional</w:t>
      </w:r>
      <w:r w:rsidRPr="00E543A5">
        <w:t xml:space="preserve">, </w:t>
      </w:r>
      <w:r w:rsidRPr="00900B94">
        <w:rPr>
          <w:lang w:val="en-US"/>
        </w:rPr>
        <w:t>Russia</w:t>
      </w:r>
      <w:r w:rsidRPr="00E543A5">
        <w:t xml:space="preserve">, </w:t>
      </w:r>
      <w:r w:rsidRPr="00900B94">
        <w:rPr>
          <w:lang w:val="en-US"/>
        </w:rPr>
        <w:t>Germany</w:t>
      </w:r>
      <w:r w:rsidRPr="00E543A5">
        <w:t xml:space="preserve">, </w:t>
      </w:r>
      <w:r w:rsidRPr="00900B94">
        <w:rPr>
          <w:lang w:val="en-US"/>
        </w:rPr>
        <w:t>Turkey</w:t>
      </w:r>
      <w:r w:rsidRPr="00E543A5">
        <w:t xml:space="preserve"> </w:t>
      </w:r>
      <w:r>
        <w:t>и</w:t>
      </w:r>
      <w:r w:rsidRPr="00E543A5">
        <w:t xml:space="preserve"> </w:t>
      </w:r>
      <w:r w:rsidRPr="00900B94">
        <w:rPr>
          <w:lang w:val="en-US"/>
        </w:rPr>
        <w:t>Frontier</w:t>
      </w:r>
      <w:r w:rsidRPr="00E543A5">
        <w:t xml:space="preserve"> </w:t>
      </w:r>
      <w:r w:rsidRPr="00900B94">
        <w:rPr>
          <w:lang w:val="en-US"/>
        </w:rPr>
        <w:t>Markets</w:t>
      </w:r>
      <w:r w:rsidRPr="00E543A5">
        <w:t xml:space="preserve"> </w:t>
      </w:r>
      <w:r w:rsidRPr="00900B94">
        <w:rPr>
          <w:lang w:val="en-US"/>
        </w:rPr>
        <w:t>Equity</w:t>
      </w:r>
      <w:r w:rsidRPr="00E543A5">
        <w:t xml:space="preserve"> </w:t>
      </w:r>
      <w:r w:rsidRPr="00900B94">
        <w:rPr>
          <w:lang w:val="en-US"/>
        </w:rPr>
        <w:t>Funds</w:t>
      </w:r>
      <w:r w:rsidRPr="00E543A5">
        <w:t xml:space="preserve">. </w:t>
      </w:r>
      <w:r>
        <w:t>Но только лишь в нескольких из них приток средств достиг среднего недельного уровня прошлого года.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 xml:space="preserve">Высокие цены на сырье и отставание в темпах роста от конкурирующих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в 2010 г., создали для российского рынка приоритетные преимущества в начале текущего года. По данным статистики EPFR, на неделе, завершившейся6 января, приток средств в фонды GEM ставил 1,7 млрд. долл., в фонды Бразилии привлечении 677 млн. долл., Индии </w:t>
      </w:r>
      <w:r w:rsidR="00E543A5">
        <w:t>-</w:t>
      </w:r>
      <w:r>
        <w:t xml:space="preserve"> 5 млн. долл., Китая и Большого Китая </w:t>
      </w:r>
      <w:r w:rsidR="00E543A5">
        <w:t>-</w:t>
      </w:r>
      <w:r>
        <w:t xml:space="preserve"> 173 млн. долл., в фонды России</w:t>
      </w:r>
      <w:proofErr w:type="gramStart"/>
      <w:r>
        <w:t xml:space="preserve"> ?</w:t>
      </w:r>
      <w:proofErr w:type="gramEnd"/>
      <w:r>
        <w:t xml:space="preserve"> 98 млн. долл.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>На неделе, завершившейся 12 января, фонды GEM привлекли всего 283 млн.</w:t>
      </w:r>
    </w:p>
    <w:p w:rsidR="00900B94" w:rsidRDefault="00900B94" w:rsidP="00900B94">
      <w:pPr>
        <w:pStyle w:val="a3"/>
      </w:pPr>
      <w:r>
        <w:t xml:space="preserve">долл., фонды BRIC испытали отток в 322 млн. долл., Китай и Большой Китай в совокупности потеряли 30 млн. долл., Индия </w:t>
      </w:r>
      <w:r w:rsidR="00E543A5">
        <w:t>-</w:t>
      </w:r>
      <w:r>
        <w:t xml:space="preserve"> привлекла 58 млн. новых средств, Бразилия</w:t>
      </w:r>
      <w:proofErr w:type="gramStart"/>
      <w:r>
        <w:t xml:space="preserve"> ?</w:t>
      </w:r>
      <w:proofErr w:type="gramEnd"/>
      <w:r>
        <w:t xml:space="preserve"> 612 млн. долл. Фонды России привлекли 196 млн. долл.</w:t>
      </w:r>
    </w:p>
    <w:p w:rsidR="00900B94" w:rsidRDefault="00900B94" w:rsidP="00900B94">
      <w:pPr>
        <w:pStyle w:val="a3"/>
      </w:pPr>
      <w:r>
        <w:t>(97 млн. долл. в первую неделю месяца).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 xml:space="preserve">Российские индексы, соответственно, растут опережающими темпами (+5% в индексе MSCI </w:t>
      </w:r>
      <w:proofErr w:type="spellStart"/>
      <w:r>
        <w:t>Russia</w:t>
      </w:r>
      <w:proofErr w:type="spellEnd"/>
      <w:r>
        <w:t xml:space="preserve">), на фоне дорожающего сырья и укрепления национальной валюты. За неполную торговую неделю индекс РТС прибавил около 6%, ММВБ </w:t>
      </w:r>
      <w:r w:rsidR="00E543A5">
        <w:t xml:space="preserve">- </w:t>
      </w:r>
      <w:r>
        <w:t xml:space="preserve">3,4%, РТС-2 </w:t>
      </w:r>
      <w:r w:rsidR="00E543A5">
        <w:t>-</w:t>
      </w:r>
      <w:r>
        <w:t xml:space="preserve"> около 4%. Опережающими темпами дорожали акции нефтегазовых эмитентов (+8,6% в отраслевом индексе РТС), промышленных компаний (+7,7%) и </w:t>
      </w:r>
      <w:proofErr w:type="spellStart"/>
      <w:r>
        <w:t>металлодобычи</w:t>
      </w:r>
      <w:proofErr w:type="spellEnd"/>
      <w:r>
        <w:t xml:space="preserve"> (+7,5%).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>Цены на нефть за период 1-14 января подорожали на 4%, до 98,4 долл./</w:t>
      </w:r>
      <w:proofErr w:type="spellStart"/>
      <w:r>
        <w:t>барр</w:t>
      </w:r>
      <w:proofErr w:type="spellEnd"/>
      <w:r>
        <w:t>.</w:t>
      </w:r>
    </w:p>
    <w:p w:rsidR="00900B94" w:rsidRDefault="00900B94" w:rsidP="00900B94">
      <w:pPr>
        <w:pStyle w:val="a3"/>
      </w:pPr>
      <w:proofErr w:type="spellStart"/>
      <w:r>
        <w:t>брент</w:t>
      </w:r>
      <w:proofErr w:type="spellEnd"/>
      <w:r>
        <w:t xml:space="preserve"> (одномесячный фьючерс), цены на никель на 4,5%, до 25 875 долл./т, цены на золото опустились на 4%, до 1 363,8 долл./т.у. </w:t>
      </w:r>
      <w:proofErr w:type="spellStart"/>
      <w:r>
        <w:t>Бивалютная</w:t>
      </w:r>
      <w:proofErr w:type="spellEnd"/>
      <w:r>
        <w:t xml:space="preserve"> корзина подешевела почти на полпроцента, до 34.6049 руб.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 xml:space="preserve">Дополнительными стимулами для роста фондовых индексов в начале года послужила нейтрализация Японией негатива в отношении долговых проблем периферийных стран Еврозоны (в виде заявления о готовящемся выкупе 20% январского выпуска европейских бондов), а для российского рынка </w:t>
      </w:r>
      <w:r w:rsidR="00E543A5">
        <w:t>-</w:t>
      </w:r>
      <w:r>
        <w:t xml:space="preserve"> анонс от </w:t>
      </w:r>
      <w:proofErr w:type="spellStart"/>
      <w:r>
        <w:t>Fitch</w:t>
      </w:r>
      <w:proofErr w:type="spellEnd"/>
      <w:r>
        <w:t xml:space="preserve"> </w:t>
      </w:r>
      <w:proofErr w:type="spellStart"/>
      <w:r>
        <w:t>Rating</w:t>
      </w:r>
      <w:proofErr w:type="spellEnd"/>
      <w:r>
        <w:t xml:space="preserve"> о предстоящем улучшении кредитного рейтинга РФ. Достаточная рублевая ликвидность способствовала наращиванию торговой активности, резко снизившейся в последнюю неделю года.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lastRenderedPageBreak/>
        <w:t>Большинство корпоративных новостей (</w:t>
      </w:r>
      <w:proofErr w:type="gramStart"/>
      <w:r>
        <w:t>см</w:t>
      </w:r>
      <w:proofErr w:type="gramEnd"/>
      <w:r>
        <w:t xml:space="preserve">. </w:t>
      </w:r>
      <w:proofErr w:type="spellStart"/>
      <w:r>
        <w:t>Илл</w:t>
      </w:r>
      <w:proofErr w:type="spellEnd"/>
      <w:r>
        <w:t>. 9) носят позитивный характер.</w:t>
      </w:r>
    </w:p>
    <w:p w:rsidR="00900B94" w:rsidRDefault="00900B94" w:rsidP="00900B94">
      <w:pPr>
        <w:pStyle w:val="a3"/>
      </w:pPr>
      <w:r>
        <w:t xml:space="preserve">Основная из них </w:t>
      </w:r>
      <w:r w:rsidR="00E543A5">
        <w:t>-</w:t>
      </w:r>
      <w:r>
        <w:t xml:space="preserve"> сделка BP/Роснефть. Британский ВР и российская компания </w:t>
      </w:r>
      <w:r w:rsidR="00E543A5">
        <w:t>«</w:t>
      </w:r>
      <w:r>
        <w:t>Роснефть</w:t>
      </w:r>
      <w:r w:rsidR="00E543A5">
        <w:t>»</w:t>
      </w:r>
      <w:r>
        <w:t xml:space="preserve"> начинают совместный проект по созданию арктического технологического центра, поступила в пятницу вечером. Центр будет проводить исследования в сфере добычи углеводородного сырья на арктическом шельфе.</w:t>
      </w:r>
      <w:r w:rsidR="00E543A5">
        <w:t xml:space="preserve"> </w:t>
      </w:r>
      <w:r>
        <w:t xml:space="preserve">Акции </w:t>
      </w:r>
      <w:r w:rsidR="00E543A5">
        <w:t>«</w:t>
      </w:r>
      <w:r>
        <w:t>Роснефти</w:t>
      </w:r>
      <w:r w:rsidR="00E543A5">
        <w:t>»</w:t>
      </w:r>
      <w:r>
        <w:t xml:space="preserve"> и BP прокомментировали информацию 4%-ным ростом. В среднесрочной перспективе новость также позитивна для капитализации госкомпании, готовящейся к приватизации. Напомним, что до 2015 г.</w:t>
      </w:r>
      <w:r w:rsidR="00E543A5">
        <w:t xml:space="preserve"> </w:t>
      </w:r>
      <w:r>
        <w:t xml:space="preserve">планируется продать 25% минус одна акция </w:t>
      </w:r>
      <w:r w:rsidR="00E543A5">
        <w:t>«</w:t>
      </w:r>
      <w:r>
        <w:t>Роснефти</w:t>
      </w:r>
      <w:r w:rsidR="00E543A5">
        <w:t>»</w:t>
      </w:r>
      <w:r>
        <w:t xml:space="preserve"> путем SPO 15% на открытом рынке и 10% (-1) в виде обмена активами с инвесторами.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 xml:space="preserve">Еще сильнее подорожали акции ФСК (+28% в РТС и +13% на ММВБ), объявившей о капиталовложениях на сумму 531 млрд. руб. в рамках программы реновации </w:t>
      </w:r>
      <w:proofErr w:type="gramStart"/>
      <w:r>
        <w:t>на</w:t>
      </w:r>
      <w:proofErr w:type="gramEnd"/>
    </w:p>
    <w:p w:rsidR="00900B94" w:rsidRDefault="00900B94" w:rsidP="00900B94">
      <w:pPr>
        <w:pStyle w:val="a3"/>
      </w:pPr>
      <w:r>
        <w:t xml:space="preserve">2011-2017 гг. А также акции </w:t>
      </w:r>
      <w:r w:rsidR="00E543A5">
        <w:t>«</w:t>
      </w:r>
      <w:proofErr w:type="spellStart"/>
      <w:r>
        <w:t>Ростелекома</w:t>
      </w:r>
      <w:proofErr w:type="spellEnd"/>
      <w:r w:rsidR="00E543A5">
        <w:t>»</w:t>
      </w:r>
      <w:r>
        <w:t xml:space="preserve"> (+24% на ММВБ), готовящегося к листингу и SPO на Лондонской фондовой бирже на сумму более 300 млн. долл. в мае-июне 2011 г. Капитализация объединенного "</w:t>
      </w:r>
      <w:proofErr w:type="spellStart"/>
      <w:r>
        <w:t>Ростелекома</w:t>
      </w:r>
      <w:proofErr w:type="spellEnd"/>
      <w:r>
        <w:t xml:space="preserve">" (с учетом присоединения ОАО </w:t>
      </w:r>
      <w:r w:rsidR="00E543A5">
        <w:t>«</w:t>
      </w:r>
      <w:r>
        <w:t>Связьинвест</w:t>
      </w:r>
      <w:r w:rsidR="00E543A5">
        <w:t>»</w:t>
      </w:r>
      <w:r>
        <w:t xml:space="preserve"> и ОАО </w:t>
      </w:r>
      <w:r w:rsidR="00E543A5">
        <w:t>«</w:t>
      </w:r>
      <w:proofErr w:type="spellStart"/>
      <w:r>
        <w:t>Дагсвязьинформ</w:t>
      </w:r>
      <w:proofErr w:type="spellEnd"/>
      <w:r w:rsidR="00E543A5">
        <w:t>»</w:t>
      </w:r>
      <w:r>
        <w:t>), оценивается в 14 млрд. долл.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proofErr w:type="gramStart"/>
      <w:r>
        <w:t xml:space="preserve">На текущей неделе важными станут </w:t>
      </w:r>
      <w:proofErr w:type="spellStart"/>
      <w:r>
        <w:t>макроданные</w:t>
      </w:r>
      <w:proofErr w:type="spellEnd"/>
      <w:r>
        <w:t xml:space="preserve">, поступающие из Китая, Германии и США, включая ВВП Китая в 4 кв., промышленную и потребительскую инфляцию, розничные продажи и </w:t>
      </w:r>
      <w:proofErr w:type="spellStart"/>
      <w:r>
        <w:t>промпроизводство</w:t>
      </w:r>
      <w:proofErr w:type="spellEnd"/>
      <w:r>
        <w:t xml:space="preserve"> в Китае, индекс настроений в экономике Германии, индекс настроений в деловой среде - IFO  и производственная инфляция в Германии, приток капитала в долгосрочные активы США, Сальдо текущего счета платежного баланса Еврозоны, обращения за пособиями по</w:t>
      </w:r>
      <w:proofErr w:type="gramEnd"/>
      <w:r>
        <w:t xml:space="preserve"> безработице в США, и др.</w:t>
      </w: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</w:p>
    <w:p w:rsidR="00900B94" w:rsidRDefault="00900B94" w:rsidP="00900B94">
      <w:pPr>
        <w:pStyle w:val="a3"/>
      </w:pPr>
      <w:r>
        <w:t xml:space="preserve">Индикатор ликвидности в банковской системе РФ находится на высоком уровне (см. </w:t>
      </w:r>
      <w:proofErr w:type="spellStart"/>
      <w:r>
        <w:t>Илл</w:t>
      </w:r>
      <w:proofErr w:type="spellEnd"/>
      <w:r>
        <w:t>. 14), что является фактором, противодействующим продажам на российском фондовом рынке, где уровень индекса РТС пробил очередной психологический рубеж в 1900 пунктов. Последний раз в движении вниз этот уровень был пройден 4 августа 2008 г. Напомним, что исторический максимум индекс РТС в 2487 пунктов был зафиксирован 19 мая 2008 г. Мы считаем, что рост на российском фондовом рынке может продолжиться, хотя и не столь бурными темпами. Прирост индикаторов российского рынка во вторую торговую неделю мы оцениваем примерно в 3%. В ближайшие дни вероятность краткосрочной коррекции возрастет.</w:t>
      </w:r>
    </w:p>
    <w:p w:rsidR="00AF6FE2" w:rsidRDefault="00E543A5"/>
    <w:sectPr w:rsidR="00AF6FE2" w:rsidSect="002D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B94"/>
    <w:rsid w:val="001C3190"/>
    <w:rsid w:val="002D681B"/>
    <w:rsid w:val="004F5001"/>
    <w:rsid w:val="00900B94"/>
    <w:rsid w:val="009E4CD7"/>
    <w:rsid w:val="00C215D9"/>
    <w:rsid w:val="00E543A5"/>
    <w:rsid w:val="00EC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00B94"/>
    <w:pPr>
      <w:spacing w:after="0" w:line="240" w:lineRule="auto"/>
    </w:pPr>
    <w:rPr>
      <w:rFonts w:ascii="Arial" w:hAnsi="Arial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900B94"/>
    <w:rPr>
      <w:rFonts w:ascii="Arial" w:hAnsi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893</Words>
  <Characters>5096</Characters>
  <Application>Microsoft Office Word</Application>
  <DocSecurity>0</DocSecurity>
  <Lines>42</Lines>
  <Paragraphs>11</Paragraphs>
  <ScaleCrop>false</ScaleCrop>
  <Company>Finam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Mkolyvanova</dc:creator>
  <cp:keywords/>
  <dc:description/>
  <cp:lastModifiedBy>Mkolyvanova</cp:lastModifiedBy>
  <cp:revision>2</cp:revision>
  <dcterms:created xsi:type="dcterms:W3CDTF">2011-01-17T14:33:00Z</dcterms:created>
  <dcterms:modified xsi:type="dcterms:W3CDTF">2011-01-17T14:37:00Z</dcterms:modified>
</cp:coreProperties>
</file>