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3"/>
        <w:gridCol w:w="7858"/>
        <w:gridCol w:w="624"/>
      </w:tblGrid>
      <w:tr w:rsidR="002F157A" w:rsidTr="002F157A">
        <w:trPr>
          <w:tblCellSpacing w:w="0" w:type="dxa"/>
        </w:trPr>
        <w:tc>
          <w:tcPr>
            <w:tcW w:w="840" w:type="dxa"/>
            <w:vAlign w:val="center"/>
            <w:hideMark/>
          </w:tcPr>
          <w:p w:rsidR="002F157A" w:rsidRDefault="002F157A">
            <w:pPr>
              <w:rPr>
                <w:rFonts w:asciiTheme="minorHAnsi" w:eastAsiaTheme="minorEastAsia" w:hAnsiTheme="minorHAnsi" w:cstheme="minorBidi"/>
                <w:lang w:eastAsia="ru-RU"/>
              </w:rPr>
            </w:pPr>
          </w:p>
        </w:tc>
        <w:tc>
          <w:tcPr>
            <w:tcW w:w="7560" w:type="dxa"/>
            <w:vAlign w:val="center"/>
          </w:tcPr>
          <w:p w:rsidR="002F157A" w:rsidRPr="002F157A" w:rsidRDefault="002F157A">
            <w:pPr>
              <w:spacing w:after="240"/>
              <w:rPr>
                <w:lang w:val="en-US"/>
              </w:rPr>
            </w:pPr>
          </w:p>
          <w:p w:rsidR="002F157A" w:rsidRDefault="002F157A">
            <w:pPr>
              <w:rPr>
                <w:b/>
                <w:bCs/>
                <w:sz w:val="36"/>
                <w:szCs w:val="36"/>
              </w:rPr>
            </w:pPr>
            <w:r>
              <w:rPr>
                <w:b/>
                <w:bCs/>
                <w:sz w:val="36"/>
                <w:szCs w:val="36"/>
              </w:rPr>
              <w:t>Рынок акций</w:t>
            </w:r>
          </w:p>
          <w:p w:rsidR="002F157A" w:rsidRDefault="002F157A">
            <w:pPr>
              <w:spacing w:after="240"/>
              <w:rPr>
                <w:color w:val="1F497D"/>
              </w:rPr>
            </w:pPr>
          </w:p>
          <w:p w:rsidR="002F157A" w:rsidRDefault="002F157A">
            <w:pPr>
              <w:spacing w:after="240"/>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1190625" cy="1190625"/>
                  <wp:effectExtent l="19050" t="0" r="9525" b="0"/>
                  <wp:docPr id="1" name="Рисунок 1" descr="Описание: Описание: Описание: C:\Users\k.krokhina\Desktop\Analitika\Analitika\Analitik_Брагин\P_Bra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C:\Users\k.krokhina\Desktop\Analitika\Analitika\Analitik_Брагин\P_Bragin.jpg"/>
                          <pic:cNvPicPr>
                            <a:picLocks noChangeAspect="1" noChangeArrowheads="1"/>
                          </pic:cNvPicPr>
                        </pic:nvPicPr>
                        <pic:blipFill>
                          <a:blip r:embed="rId4" r:link="rId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F157A" w:rsidRDefault="002F157A">
            <w:pPr>
              <w:rPr>
                <w:b/>
                <w:bCs/>
                <w:sz w:val="28"/>
                <w:szCs w:val="28"/>
                <w:lang w:eastAsia="ru-RU"/>
              </w:rPr>
            </w:pPr>
            <w:r>
              <w:rPr>
                <w:b/>
                <w:bCs/>
                <w:sz w:val="28"/>
                <w:szCs w:val="28"/>
                <w:lang w:eastAsia="ru-RU"/>
              </w:rPr>
              <w:t>Владимир Брагин,</w:t>
            </w:r>
            <w:r>
              <w:rPr>
                <w:b/>
                <w:bCs/>
                <w:sz w:val="28"/>
                <w:szCs w:val="28"/>
                <w:lang w:eastAsia="ru-RU"/>
              </w:rPr>
              <w:br/>
            </w:r>
            <w:r>
              <w:rPr>
                <w:b/>
                <w:bCs/>
                <w:color w:val="FF0000"/>
                <w:sz w:val="28"/>
                <w:szCs w:val="28"/>
                <w:lang w:eastAsia="ru-RU"/>
              </w:rPr>
              <w:t>директор по анализу финансовых рынков</w:t>
            </w:r>
            <w:r>
              <w:rPr>
                <w:b/>
                <w:bCs/>
                <w:color w:val="FF0000"/>
                <w:sz w:val="28"/>
                <w:szCs w:val="28"/>
                <w:lang w:eastAsia="ru-RU"/>
              </w:rPr>
              <w:br/>
              <w:t>и макроэкономики УК «Альфа-Капитал»</w:t>
            </w:r>
          </w:p>
          <w:p w:rsidR="002F157A" w:rsidRDefault="002F157A">
            <w:pPr>
              <w:rPr>
                <w:b/>
                <w:bCs/>
                <w:color w:val="1F497D"/>
              </w:rPr>
            </w:pPr>
          </w:p>
          <w:p w:rsidR="002F157A" w:rsidRDefault="002F157A">
            <w:r>
              <w:t xml:space="preserve">На прошлой неделе весь свой рост российский рынок показал в понедельник, в остальные дни он предпочел отстояться и даже немного </w:t>
            </w:r>
            <w:proofErr w:type="spellStart"/>
            <w:r>
              <w:t>скорректироваться</w:t>
            </w:r>
            <w:proofErr w:type="spellEnd"/>
            <w:r>
              <w:t xml:space="preserve"> в пятницу. В итоге рост за неделю составил +1.2%, позволив догнать себя индексу </w:t>
            </w:r>
            <w:r>
              <w:rPr>
                <w:lang w:val="en-US"/>
              </w:rPr>
              <w:t>MSCI</w:t>
            </w:r>
            <w:r w:rsidRPr="002F157A">
              <w:t xml:space="preserve"> </w:t>
            </w:r>
            <w:r>
              <w:rPr>
                <w:lang w:val="en-US"/>
              </w:rPr>
              <w:t>EM</w:t>
            </w:r>
            <w:r>
              <w:t xml:space="preserve">, от которого </w:t>
            </w:r>
            <w:proofErr w:type="gramStart"/>
            <w:r>
              <w:t>он</w:t>
            </w:r>
            <w:proofErr w:type="gramEnd"/>
            <w:r>
              <w:t xml:space="preserve"> было оторвался неделей ранее. Неплохо выглядели и индексы развитых стран, европейские и американские индексы продолжали подрастать.</w:t>
            </w:r>
          </w:p>
          <w:p w:rsidR="002F157A" w:rsidRDefault="002F157A">
            <w:r>
              <w:t xml:space="preserve">Идея роста на улучшении ситуации вокруг Сирии и снижении вероятности военной операции остается в силе, и цены на нефть это уже отражают. Плохо, что цены промышленных металлов пока слабо реагируют на поток хороших новостей. А это неприятный сигнал того, что инвестиционный спрос в мире и развивающихся странах в частности остается слабым. Как следствие, рост фондовых индексов, и особенно </w:t>
            </w:r>
            <w:proofErr w:type="gramStart"/>
            <w:r>
              <w:t>российского</w:t>
            </w:r>
            <w:proofErr w:type="gramEnd"/>
            <w:r>
              <w:t xml:space="preserve">, сейчас выгладит шатким. Если цены на промышленные металлы не начнут подрастать, сигнализируя об улучшении экономических перспектив развивающихся рынков, оптимизм инвесторов может оказаться недолговечным. </w:t>
            </w:r>
          </w:p>
          <w:p w:rsidR="002F157A" w:rsidRPr="002F157A" w:rsidRDefault="002F157A">
            <w:r>
              <w:t xml:space="preserve">Есть надежда на то, что решение ФРС сможет помочь. В частности, небольшое сокращение объема </w:t>
            </w:r>
            <w:r>
              <w:rPr>
                <w:lang w:val="en-US"/>
              </w:rPr>
              <w:t>QE</w:t>
            </w:r>
            <w:r w:rsidRPr="002F157A">
              <w:t xml:space="preserve"> </w:t>
            </w:r>
            <w:r>
              <w:t xml:space="preserve">будет сигнализировать об улучшении видимых перспектив экономики США, тогда как продолжение скупки активов продолжит пополнять долларовую </w:t>
            </w:r>
            <w:proofErr w:type="gramStart"/>
            <w:r>
              <w:t>ликвидность</w:t>
            </w:r>
            <w:proofErr w:type="gramEnd"/>
            <w:r>
              <w:t xml:space="preserve"> обеспечивая дешевое фондирование. В совокупности это должно поддержать сырьевой рынок.</w:t>
            </w:r>
          </w:p>
        </w:tc>
        <w:tc>
          <w:tcPr>
            <w:tcW w:w="600" w:type="dxa"/>
            <w:vAlign w:val="center"/>
            <w:hideMark/>
          </w:tcPr>
          <w:p w:rsidR="002F157A" w:rsidRDefault="002F157A">
            <w:pPr>
              <w:rPr>
                <w:sz w:val="24"/>
                <w:szCs w:val="24"/>
              </w:rPr>
            </w:pPr>
            <w:r>
              <w:t> </w:t>
            </w:r>
          </w:p>
        </w:tc>
      </w:tr>
    </w:tbl>
    <w:p w:rsidR="002F157A" w:rsidRDefault="002F157A" w:rsidP="002F157A">
      <w:pPr>
        <w:rPr>
          <w:vanish/>
        </w:rPr>
      </w:pPr>
    </w:p>
    <w:tbl>
      <w:tblPr>
        <w:tblW w:w="5000" w:type="pct"/>
        <w:tblCellSpacing w:w="0" w:type="dxa"/>
        <w:tblCellMar>
          <w:left w:w="0" w:type="dxa"/>
          <w:right w:w="0" w:type="dxa"/>
        </w:tblCellMar>
        <w:tblLook w:val="04A0"/>
      </w:tblPr>
      <w:tblGrid>
        <w:gridCol w:w="873"/>
        <w:gridCol w:w="7858"/>
        <w:gridCol w:w="624"/>
      </w:tblGrid>
      <w:tr w:rsidR="002F157A" w:rsidTr="002F157A">
        <w:trPr>
          <w:trHeight w:val="150"/>
          <w:tblCellSpacing w:w="0" w:type="dxa"/>
        </w:trPr>
        <w:tc>
          <w:tcPr>
            <w:tcW w:w="873" w:type="dxa"/>
            <w:shd w:val="clear" w:color="auto" w:fill="FFFFFF"/>
            <w:vAlign w:val="center"/>
            <w:hideMark/>
          </w:tcPr>
          <w:p w:rsidR="002F157A" w:rsidRDefault="002F157A">
            <w:pPr>
              <w:rPr>
                <w:rFonts w:asciiTheme="minorHAnsi" w:eastAsiaTheme="minorEastAsia" w:hAnsiTheme="minorHAnsi" w:cstheme="minorBidi"/>
                <w:lang w:eastAsia="ru-RU"/>
              </w:rPr>
            </w:pPr>
          </w:p>
        </w:tc>
        <w:tc>
          <w:tcPr>
            <w:tcW w:w="7858" w:type="dxa"/>
            <w:shd w:val="clear" w:color="auto" w:fill="FFFFFF"/>
            <w:vAlign w:val="center"/>
            <w:hideMark/>
          </w:tcPr>
          <w:p w:rsidR="002F157A" w:rsidRDefault="002F157A">
            <w:pPr>
              <w:rPr>
                <w:rFonts w:asciiTheme="minorHAnsi" w:eastAsiaTheme="minorEastAsia" w:hAnsiTheme="minorHAnsi" w:cstheme="minorBidi"/>
                <w:lang w:eastAsia="ru-RU"/>
              </w:rPr>
            </w:pPr>
          </w:p>
        </w:tc>
        <w:tc>
          <w:tcPr>
            <w:tcW w:w="624" w:type="dxa"/>
            <w:shd w:val="clear" w:color="auto" w:fill="FFFFFF"/>
            <w:vAlign w:val="center"/>
            <w:hideMark/>
          </w:tcPr>
          <w:p w:rsidR="002F157A" w:rsidRDefault="002F157A">
            <w:pPr>
              <w:rPr>
                <w:rFonts w:asciiTheme="minorHAnsi" w:eastAsiaTheme="minorEastAsia" w:hAnsiTheme="minorHAnsi" w:cstheme="minorBidi"/>
                <w:lang w:eastAsia="ru-RU"/>
              </w:rPr>
            </w:pPr>
          </w:p>
        </w:tc>
      </w:tr>
      <w:tr w:rsidR="002F157A" w:rsidTr="002F157A">
        <w:trPr>
          <w:trHeight w:val="7916"/>
          <w:tblCellSpacing w:w="0" w:type="dxa"/>
        </w:trPr>
        <w:tc>
          <w:tcPr>
            <w:tcW w:w="873" w:type="dxa"/>
            <w:vAlign w:val="center"/>
            <w:hideMark/>
          </w:tcPr>
          <w:p w:rsidR="002F157A" w:rsidRDefault="002F157A" w:rsidP="002F157A">
            <w:pPr>
              <w:spacing w:after="200" w:line="276" w:lineRule="auto"/>
              <w:rPr>
                <w:rFonts w:asciiTheme="minorHAnsi" w:eastAsiaTheme="minorEastAsia" w:hAnsiTheme="minorHAnsi" w:cstheme="minorBidi"/>
                <w:lang w:eastAsia="ru-RU"/>
              </w:rPr>
            </w:pPr>
          </w:p>
        </w:tc>
        <w:tc>
          <w:tcPr>
            <w:tcW w:w="7858" w:type="dxa"/>
            <w:vAlign w:val="center"/>
          </w:tcPr>
          <w:p w:rsidR="002F157A" w:rsidRDefault="002F157A">
            <w:pPr>
              <w:spacing w:after="240"/>
            </w:pPr>
          </w:p>
          <w:p w:rsidR="002F157A" w:rsidRDefault="002F157A">
            <w:pPr>
              <w:rPr>
                <w:b/>
                <w:bCs/>
                <w:sz w:val="36"/>
                <w:szCs w:val="36"/>
              </w:rPr>
            </w:pPr>
            <w:r>
              <w:rPr>
                <w:b/>
                <w:bCs/>
                <w:sz w:val="36"/>
                <w:szCs w:val="36"/>
              </w:rPr>
              <w:t>Рынок сырьевых товаров</w:t>
            </w:r>
          </w:p>
          <w:p w:rsidR="002F157A" w:rsidRDefault="002F157A">
            <w:pPr>
              <w:spacing w:after="240"/>
              <w:rPr>
                <w:rFonts w:ascii="Times New Roman" w:hAnsi="Times New Roman"/>
                <w:sz w:val="24"/>
                <w:szCs w:val="24"/>
              </w:rPr>
            </w:pPr>
            <w:r>
              <w:rPr>
                <w:noProof/>
                <w:lang w:eastAsia="ru-RU"/>
              </w:rPr>
              <w:drawing>
                <wp:inline distT="0" distB="0" distL="0" distR="0">
                  <wp:extent cx="1190625" cy="1190625"/>
                  <wp:effectExtent l="19050" t="0" r="9525" b="0"/>
                  <wp:docPr id="3" name="Рисунок 3" descr="cid:image004.jpg@01CEB308.D0DF0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B308.D0DF04B0"/>
                          <pic:cNvPicPr>
                            <a:picLocks noChangeAspect="1" noChangeArrowheads="1"/>
                          </pic:cNvPicPr>
                        </pic:nvPicPr>
                        <pic:blipFill>
                          <a:blip r:embed="rId6" r:link="rId7"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2F157A" w:rsidRDefault="002F157A">
            <w:pPr>
              <w:rPr>
                <w:b/>
                <w:bCs/>
                <w:color w:val="1F497D"/>
                <w:sz w:val="28"/>
                <w:szCs w:val="28"/>
              </w:rPr>
            </w:pPr>
            <w:r>
              <w:rPr>
                <w:b/>
                <w:bCs/>
                <w:sz w:val="28"/>
                <w:szCs w:val="28"/>
              </w:rPr>
              <w:t xml:space="preserve">Дмитрий </w:t>
            </w:r>
            <w:proofErr w:type="spellStart"/>
            <w:r>
              <w:rPr>
                <w:b/>
                <w:bCs/>
                <w:sz w:val="28"/>
                <w:szCs w:val="28"/>
              </w:rPr>
              <w:t>Чернядьев</w:t>
            </w:r>
            <w:proofErr w:type="spellEnd"/>
            <w:r>
              <w:rPr>
                <w:b/>
                <w:bCs/>
                <w:sz w:val="28"/>
                <w:szCs w:val="28"/>
              </w:rPr>
              <w:t xml:space="preserve">, </w:t>
            </w:r>
            <w:r>
              <w:rPr>
                <w:b/>
                <w:bCs/>
                <w:sz w:val="28"/>
                <w:szCs w:val="28"/>
              </w:rPr>
              <w:br/>
            </w:r>
            <w:r>
              <w:rPr>
                <w:b/>
                <w:bCs/>
                <w:color w:val="FF0000"/>
                <w:sz w:val="28"/>
                <w:szCs w:val="28"/>
              </w:rPr>
              <w:t>портфельный управляющий УК «Альфа-Капитал»</w:t>
            </w:r>
          </w:p>
          <w:p w:rsidR="002F157A" w:rsidRDefault="002F157A">
            <w:pPr>
              <w:rPr>
                <w:b/>
                <w:bCs/>
                <w:color w:val="1F497D"/>
              </w:rPr>
            </w:pPr>
          </w:p>
          <w:p w:rsidR="002F157A" w:rsidRDefault="002F157A">
            <w:r>
              <w:t xml:space="preserve">Драгоценные металлы на прошлой неделе существенно снизились в цене. Перевод переговоров по поводу химического оружия в Сирии в мирное русло увеличил </w:t>
            </w:r>
            <w:proofErr w:type="gramStart"/>
            <w:r>
              <w:t>аппетит к риску</w:t>
            </w:r>
            <w:proofErr w:type="gramEnd"/>
            <w:r>
              <w:t xml:space="preserve"> на мировых рынках, что негативно сказалось на котировках драгметаллов.</w:t>
            </w:r>
          </w:p>
          <w:p w:rsidR="002F157A" w:rsidRDefault="002F157A">
            <w:r>
              <w:t xml:space="preserve">Согласие официальных властей Сирии на присоединение к конвенции ООН по химическому оружию и разработка плана по работе с ним при участии США и России существенно снизили риски военной операции западных стран, по крайней </w:t>
            </w:r>
            <w:proofErr w:type="gramStart"/>
            <w:r>
              <w:t>мере</w:t>
            </w:r>
            <w:proofErr w:type="gramEnd"/>
            <w:r>
              <w:t xml:space="preserve"> на ближайшее время. Цена нефти отреагировала соответствующим образом и за неделю снизилась со 116 до 111 долларов за баррель.</w:t>
            </w:r>
          </w:p>
          <w:p w:rsidR="002F157A" w:rsidRDefault="002F157A">
            <w:r>
              <w:t>Добыча в Ливии по-прежнему находится на самых низких уровнях за последние два года, что оказывает поддержку цене нефти на текущих уровнях. Осенью традиционно начинается сезон плановых ремонтов НПЗ по всему миру, что снизит спрос на нефть, поэтому выпадение Ливии из мирового рынка пока проходит незаметно. Однако если власти страны не решат проблемы к зиме, то на рынке нефти может образоваться дефицит, что может подтолкнуть цену "черного золота" вверх.</w:t>
            </w:r>
          </w:p>
          <w:p w:rsidR="002F157A" w:rsidRDefault="002F157A">
            <w:pPr>
              <w:rPr>
                <w:color w:val="1F497D"/>
              </w:rPr>
            </w:pPr>
          </w:p>
        </w:tc>
        <w:tc>
          <w:tcPr>
            <w:tcW w:w="624" w:type="dxa"/>
            <w:vAlign w:val="center"/>
            <w:hideMark/>
          </w:tcPr>
          <w:p w:rsidR="002F157A" w:rsidRDefault="002F157A">
            <w:pPr>
              <w:rPr>
                <w:sz w:val="24"/>
                <w:szCs w:val="24"/>
              </w:rPr>
            </w:pPr>
            <w:r>
              <w:t> </w:t>
            </w:r>
          </w:p>
        </w:tc>
      </w:tr>
    </w:tbl>
    <w:p w:rsidR="0083574F" w:rsidRDefault="002F157A">
      <w:r>
        <w:br/>
      </w:r>
    </w:p>
    <w:sectPr w:rsidR="0083574F" w:rsidSect="00835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57A"/>
    <w:rsid w:val="002F157A"/>
    <w:rsid w:val="00835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57A"/>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57A"/>
    <w:rPr>
      <w:rFonts w:ascii="Tahoma" w:hAnsi="Tahoma" w:cs="Tahoma"/>
      <w:sz w:val="16"/>
      <w:szCs w:val="16"/>
    </w:rPr>
  </w:style>
  <w:style w:type="character" w:customStyle="1" w:styleId="a4">
    <w:name w:val="Текст выноски Знак"/>
    <w:basedOn w:val="a0"/>
    <w:link w:val="a3"/>
    <w:uiPriority w:val="99"/>
    <w:semiHidden/>
    <w:rsid w:val="002F1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9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4.jpg@01CEB308.D0DF04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2.jpg@01CEB308.D0DF04B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2191</Characters>
  <Application>Microsoft Office Word</Application>
  <DocSecurity>0</DocSecurity>
  <Lines>18</Lines>
  <Paragraphs>5</Paragraphs>
  <ScaleCrop>false</ScaleCrop>
  <Company>Finam</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2013-09-16T15:14:00Z</dcterms:created>
  <dcterms:modified xsi:type="dcterms:W3CDTF">2013-09-16T15:17:00Z</dcterms:modified>
</cp:coreProperties>
</file>