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873"/>
        <w:gridCol w:w="7858"/>
        <w:gridCol w:w="624"/>
      </w:tblGrid>
      <w:tr w:rsidR="008E2739" w:rsidTr="008E2739">
        <w:trPr>
          <w:tblCellSpacing w:w="0" w:type="dxa"/>
        </w:trPr>
        <w:tc>
          <w:tcPr>
            <w:tcW w:w="840" w:type="dxa"/>
            <w:vAlign w:val="center"/>
            <w:hideMark/>
          </w:tcPr>
          <w:p w:rsidR="008E2739" w:rsidRDefault="008E2739">
            <w:pPr>
              <w:rPr>
                <w:rFonts w:asciiTheme="minorHAnsi" w:eastAsiaTheme="minorEastAsia" w:hAnsiTheme="minorHAnsi" w:cstheme="minorBidi"/>
                <w:lang w:eastAsia="ru-RU"/>
              </w:rPr>
            </w:pPr>
          </w:p>
        </w:tc>
        <w:tc>
          <w:tcPr>
            <w:tcW w:w="7560" w:type="dxa"/>
            <w:vAlign w:val="center"/>
          </w:tcPr>
          <w:p w:rsidR="008E2739" w:rsidRDefault="008E2739">
            <w:pPr>
              <w:rPr>
                <w:b/>
                <w:bCs/>
                <w:sz w:val="36"/>
                <w:szCs w:val="36"/>
              </w:rPr>
            </w:pPr>
            <w:r>
              <w:rPr>
                <w:b/>
                <w:bCs/>
                <w:sz w:val="36"/>
                <w:szCs w:val="36"/>
              </w:rPr>
              <w:t>Рынок акций</w:t>
            </w:r>
          </w:p>
          <w:p w:rsidR="008E2739" w:rsidRDefault="008E2739">
            <w:pPr>
              <w:spacing w:after="240"/>
              <w:rPr>
                <w:rFonts w:ascii="Times New Roman" w:hAnsi="Times New Roman"/>
                <w:sz w:val="24"/>
                <w:szCs w:val="24"/>
              </w:rPr>
            </w:pPr>
            <w:r>
              <w:rPr>
                <w:noProof/>
                <w:lang w:eastAsia="ru-RU"/>
              </w:rPr>
              <w:drawing>
                <wp:inline distT="0" distB="0" distL="0" distR="0">
                  <wp:extent cx="1190625" cy="1190625"/>
                  <wp:effectExtent l="19050" t="0" r="9525" b="0"/>
                  <wp:docPr id="1" name="Рисунок 6" descr="Описание: cid:image002.jpg@01CE3479.427EB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cid:image002.jpg@01CE3479.427EB390"/>
                          <pic:cNvPicPr>
                            <a:picLocks noChangeAspect="1" noChangeArrowheads="1"/>
                          </pic:cNvPicPr>
                        </pic:nvPicPr>
                        <pic:blipFill>
                          <a:blip r:embed="rId4" r:link="rId5" cstate="print"/>
                          <a:srcRect/>
                          <a:stretch>
                            <a:fillRect/>
                          </a:stretch>
                        </pic:blipFill>
                        <pic:spPr bwMode="auto">
                          <a:xfrm>
                            <a:off x="0" y="0"/>
                            <a:ext cx="1190625" cy="1190625"/>
                          </a:xfrm>
                          <a:prstGeom prst="rect">
                            <a:avLst/>
                          </a:prstGeom>
                          <a:noFill/>
                          <a:ln w="9525">
                            <a:noFill/>
                            <a:miter lim="800000"/>
                            <a:headEnd/>
                            <a:tailEnd/>
                          </a:ln>
                        </pic:spPr>
                      </pic:pic>
                    </a:graphicData>
                  </a:graphic>
                </wp:inline>
              </w:drawing>
            </w:r>
          </w:p>
          <w:p w:rsidR="008E2739" w:rsidRDefault="008E2739">
            <w:pPr>
              <w:rPr>
                <w:b/>
                <w:bCs/>
                <w:sz w:val="28"/>
                <w:szCs w:val="28"/>
              </w:rPr>
            </w:pPr>
            <w:r>
              <w:rPr>
                <w:b/>
                <w:bCs/>
                <w:sz w:val="28"/>
                <w:szCs w:val="28"/>
              </w:rPr>
              <w:t xml:space="preserve">Регина </w:t>
            </w:r>
            <w:proofErr w:type="spellStart"/>
            <w:r>
              <w:rPr>
                <w:b/>
                <w:bCs/>
                <w:sz w:val="28"/>
                <w:szCs w:val="28"/>
              </w:rPr>
              <w:t>Гирфанова</w:t>
            </w:r>
            <w:proofErr w:type="spellEnd"/>
            <w:r>
              <w:rPr>
                <w:b/>
                <w:bCs/>
                <w:sz w:val="28"/>
                <w:szCs w:val="28"/>
              </w:rPr>
              <w:t>,</w:t>
            </w:r>
            <w:r>
              <w:rPr>
                <w:b/>
                <w:bCs/>
                <w:sz w:val="28"/>
                <w:szCs w:val="28"/>
              </w:rPr>
              <w:br/>
            </w:r>
            <w:r>
              <w:rPr>
                <w:b/>
                <w:bCs/>
                <w:color w:val="FF0000"/>
                <w:sz w:val="28"/>
                <w:szCs w:val="28"/>
              </w:rPr>
              <w:t>портфельный управляющий УК «Альфа-Капитал»</w:t>
            </w:r>
          </w:p>
          <w:p w:rsidR="008E2739" w:rsidRDefault="008E2739"/>
          <w:p w:rsidR="008E2739" w:rsidRDefault="008E2739">
            <w:r>
              <w:t>Апрель, похоже, станет самым тяжелым месяцем для российского фондового рынка. Особенно сложной прошедшая неделя была для сектора</w:t>
            </w:r>
            <w:r w:rsidRPr="008E2739">
              <w:t xml:space="preserve"> </w:t>
            </w:r>
            <w:r>
              <w:t>электроэнергетики. С одной стороны, все четче разговоры про приватизацию, с другой – заявления о покупке «ИНТЕР РАО»  «</w:t>
            </w:r>
            <w:proofErr w:type="spellStart"/>
            <w:r>
              <w:t>Роснефтегазом</w:t>
            </w:r>
            <w:proofErr w:type="spellEnd"/>
            <w:r>
              <w:t>».  А вмешательство куда бы то ни было «</w:t>
            </w:r>
            <w:proofErr w:type="spellStart"/>
            <w:r>
              <w:t>Роснефтегаза</w:t>
            </w:r>
            <w:proofErr w:type="spellEnd"/>
            <w:r>
              <w:t>» не могло не вызвать пессимизма и разочарования у инвесторов.</w:t>
            </w:r>
          </w:p>
          <w:p w:rsidR="008E2739" w:rsidRDefault="008E2739">
            <w:r>
              <w:t xml:space="preserve">На прошлой неделе отчитывались компании потребительского сектора. В целом, несмотря не замедление российской экономики, они чувствуют себя пока еще очень хорошо. Из примечательных событий стоит отметить смену лидера: наконец им стал «Магнит». Мы продолжаем смотреть на сектор позитивно, наши </w:t>
            </w:r>
            <w:proofErr w:type="gramStart"/>
            <w:r>
              <w:t>топ-пики</w:t>
            </w:r>
            <w:proofErr w:type="gramEnd"/>
            <w:r>
              <w:t xml:space="preserve"> – «Магнит», «</w:t>
            </w:r>
            <w:proofErr w:type="spellStart"/>
            <w:r>
              <w:t>Дикси</w:t>
            </w:r>
            <w:proofErr w:type="spellEnd"/>
            <w:r>
              <w:t>», «М.Видео».</w:t>
            </w:r>
          </w:p>
          <w:p w:rsidR="008E2739" w:rsidRDefault="008E2739">
            <w:pPr>
              <w:spacing w:after="240"/>
              <w:rPr>
                <w:color w:val="1F497D"/>
              </w:rPr>
            </w:pPr>
            <w:r>
              <w:t xml:space="preserve">Напоследок стоит вспомнить размещение </w:t>
            </w:r>
            <w:proofErr w:type="spellStart"/>
            <w:r>
              <w:t>Фосагро</w:t>
            </w:r>
            <w:proofErr w:type="spellEnd"/>
            <w:r>
              <w:t xml:space="preserve">. На наш взгляд, размещение прошло удачно, хотя выглядело немного странно: после размещения бондов компания говорила о том, что не нуждается больше в капитале. Тем не менее, увеличение ликвидности дает компании шансы на попадание в </w:t>
            </w:r>
            <w:r>
              <w:rPr>
                <w:lang w:val="en-US"/>
              </w:rPr>
              <w:t>MSCI</w:t>
            </w:r>
            <w:r w:rsidRPr="008E2739">
              <w:t xml:space="preserve"> </w:t>
            </w:r>
            <w:r>
              <w:t>в мае.</w:t>
            </w:r>
          </w:p>
          <w:p w:rsidR="008E2739" w:rsidRDefault="008E2739">
            <w:pPr>
              <w:spacing w:after="240"/>
              <w:rPr>
                <w:rFonts w:ascii="Times New Roman" w:hAnsi="Times New Roman"/>
                <w:sz w:val="24"/>
                <w:szCs w:val="24"/>
              </w:rPr>
            </w:pPr>
            <w:r>
              <w:rPr>
                <w:noProof/>
                <w:lang w:eastAsia="ru-RU"/>
              </w:rPr>
              <w:drawing>
                <wp:inline distT="0" distB="0" distL="0" distR="0">
                  <wp:extent cx="1190625" cy="1190625"/>
                  <wp:effectExtent l="19050" t="0" r="9525" b="0"/>
                  <wp:docPr id="2" name="Рисунок 5" descr="Описание: cid:image003.jpg@01CE3479.427EB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cid:image003.jpg@01CE3479.427EB390"/>
                          <pic:cNvPicPr>
                            <a:picLocks noChangeAspect="1" noChangeArrowheads="1"/>
                          </pic:cNvPicPr>
                        </pic:nvPicPr>
                        <pic:blipFill>
                          <a:blip r:embed="rId6" r:link="rId7" cstate="print"/>
                          <a:srcRect/>
                          <a:stretch>
                            <a:fillRect/>
                          </a:stretch>
                        </pic:blipFill>
                        <pic:spPr bwMode="auto">
                          <a:xfrm>
                            <a:off x="0" y="0"/>
                            <a:ext cx="1190625" cy="1190625"/>
                          </a:xfrm>
                          <a:prstGeom prst="rect">
                            <a:avLst/>
                          </a:prstGeom>
                          <a:noFill/>
                          <a:ln w="9525">
                            <a:noFill/>
                            <a:miter lim="800000"/>
                            <a:headEnd/>
                            <a:tailEnd/>
                          </a:ln>
                        </pic:spPr>
                      </pic:pic>
                    </a:graphicData>
                  </a:graphic>
                </wp:inline>
              </w:drawing>
            </w:r>
          </w:p>
          <w:p w:rsidR="008E2739" w:rsidRDefault="008E2739">
            <w:pPr>
              <w:rPr>
                <w:b/>
                <w:bCs/>
                <w:sz w:val="28"/>
                <w:szCs w:val="28"/>
              </w:rPr>
            </w:pPr>
            <w:r>
              <w:rPr>
                <w:b/>
                <w:bCs/>
                <w:sz w:val="28"/>
                <w:szCs w:val="28"/>
              </w:rPr>
              <w:t xml:space="preserve">Игорь </w:t>
            </w:r>
            <w:proofErr w:type="spellStart"/>
            <w:r>
              <w:rPr>
                <w:b/>
                <w:bCs/>
                <w:sz w:val="28"/>
                <w:szCs w:val="28"/>
              </w:rPr>
              <w:t>Нуждин</w:t>
            </w:r>
            <w:proofErr w:type="spellEnd"/>
            <w:r>
              <w:rPr>
                <w:b/>
                <w:bCs/>
                <w:sz w:val="28"/>
                <w:szCs w:val="28"/>
              </w:rPr>
              <w:t xml:space="preserve">, </w:t>
            </w:r>
            <w:r>
              <w:rPr>
                <w:b/>
                <w:bCs/>
                <w:sz w:val="28"/>
                <w:szCs w:val="28"/>
              </w:rPr>
              <w:br/>
            </w:r>
            <w:r>
              <w:rPr>
                <w:b/>
                <w:bCs/>
                <w:color w:val="FF0000"/>
                <w:sz w:val="28"/>
                <w:szCs w:val="28"/>
              </w:rPr>
              <w:t>аналитик УК «Альфа-Капитал»</w:t>
            </w:r>
          </w:p>
          <w:p w:rsidR="008E2739" w:rsidRDefault="008E2739"/>
          <w:p w:rsidR="008E2739" w:rsidRDefault="008E2739">
            <w:r>
              <w:t xml:space="preserve">Российский рынок акций остался во власти продавцов, для чего есть объективные причины. Из </w:t>
            </w:r>
            <w:proofErr w:type="spellStart"/>
            <w:r>
              <w:t>внутрироссийских</w:t>
            </w:r>
            <w:proofErr w:type="spellEnd"/>
            <w:r>
              <w:t xml:space="preserve"> это замедление роста экономики РФ и прогноза на 2013 год (вплоть до рецессии), ухудшение инвестиционного климата. Из внешних – слабая статистика по США и Китаю и, как следствие, падение нефтяных цен.</w:t>
            </w:r>
          </w:p>
          <w:p w:rsidR="008E2739" w:rsidRDefault="008E2739">
            <w:r>
              <w:t xml:space="preserve">При этом слабые </w:t>
            </w:r>
            <w:proofErr w:type="spellStart"/>
            <w:r>
              <w:t>макроданные</w:t>
            </w:r>
            <w:proofErr w:type="spellEnd"/>
            <w:r>
              <w:t xml:space="preserve"> по США пока не находят отражения </w:t>
            </w:r>
            <w:r>
              <w:br/>
              <w:t xml:space="preserve">в котировках акций американских компаний. Это объясняется хорошими ожиданиями отчетов корпораций по итогам </w:t>
            </w:r>
            <w:r>
              <w:rPr>
                <w:lang w:val="en-US"/>
              </w:rPr>
              <w:t>I</w:t>
            </w:r>
            <w:r>
              <w:t xml:space="preserve"> квартала 2013 года. Тем более что те эмитенты, что уже отчитались, не дали причин для разочарования. Оптимизма добавил и Банк Японии с его заявлениями по выкупу активов в масштабе, не уступающем </w:t>
            </w:r>
            <w:r>
              <w:rPr>
                <w:lang w:val="en-US"/>
              </w:rPr>
              <w:t>QE</w:t>
            </w:r>
            <w:r>
              <w:t>3.</w:t>
            </w:r>
          </w:p>
          <w:p w:rsidR="008E2739" w:rsidRPr="008E2739" w:rsidRDefault="008E2739">
            <w:r>
              <w:t xml:space="preserve">Впрочем, если статистика по Штатам продолжит ухудшаться, то коррекция неизбежна. Вопрос лишь только времени. В апреле благодаря сезону отчетности оптимизм еще продержится, но вот по маю такой уверенности нет. </w:t>
            </w:r>
          </w:p>
        </w:tc>
        <w:tc>
          <w:tcPr>
            <w:tcW w:w="600" w:type="dxa"/>
            <w:vAlign w:val="center"/>
            <w:hideMark/>
          </w:tcPr>
          <w:p w:rsidR="008E2739" w:rsidRDefault="008E2739">
            <w:pPr>
              <w:rPr>
                <w:sz w:val="24"/>
                <w:szCs w:val="24"/>
              </w:rPr>
            </w:pPr>
            <w:r>
              <w:t> </w:t>
            </w:r>
          </w:p>
        </w:tc>
      </w:tr>
    </w:tbl>
    <w:p w:rsidR="008E2739" w:rsidRDefault="008E2739" w:rsidP="008E2739">
      <w:pPr>
        <w:rPr>
          <w:vanish/>
        </w:rPr>
      </w:pPr>
    </w:p>
    <w:tbl>
      <w:tblPr>
        <w:tblW w:w="800" w:type="pct"/>
        <w:tblCellSpacing w:w="0" w:type="dxa"/>
        <w:tblCellMar>
          <w:left w:w="0" w:type="dxa"/>
          <w:right w:w="0" w:type="dxa"/>
        </w:tblCellMar>
        <w:tblLook w:val="04A0"/>
      </w:tblPr>
      <w:tblGrid>
        <w:gridCol w:w="873"/>
        <w:gridCol w:w="624"/>
      </w:tblGrid>
      <w:tr w:rsidR="008E2739" w:rsidTr="008E2739">
        <w:trPr>
          <w:trHeight w:val="150"/>
          <w:tblCellSpacing w:w="0" w:type="dxa"/>
        </w:trPr>
        <w:tc>
          <w:tcPr>
            <w:tcW w:w="873" w:type="dxa"/>
            <w:shd w:val="clear" w:color="auto" w:fill="FFFFFF"/>
            <w:vAlign w:val="center"/>
            <w:hideMark/>
          </w:tcPr>
          <w:p w:rsidR="008E2739" w:rsidRDefault="008E2739">
            <w:pPr>
              <w:rPr>
                <w:rFonts w:asciiTheme="minorHAnsi" w:eastAsiaTheme="minorEastAsia" w:hAnsiTheme="minorHAnsi" w:cstheme="minorBidi"/>
                <w:lang w:eastAsia="ru-RU"/>
              </w:rPr>
            </w:pPr>
          </w:p>
        </w:tc>
        <w:tc>
          <w:tcPr>
            <w:tcW w:w="624" w:type="dxa"/>
            <w:shd w:val="clear" w:color="auto" w:fill="FFFFFF"/>
            <w:vAlign w:val="center"/>
            <w:hideMark/>
          </w:tcPr>
          <w:p w:rsidR="008E2739" w:rsidRDefault="008E2739">
            <w:pPr>
              <w:rPr>
                <w:rFonts w:asciiTheme="minorHAnsi" w:eastAsiaTheme="minorEastAsia" w:hAnsiTheme="minorHAnsi" w:cstheme="minorBidi"/>
                <w:lang w:eastAsia="ru-RU"/>
              </w:rPr>
            </w:pPr>
          </w:p>
        </w:tc>
      </w:tr>
      <w:tr w:rsidR="008E2739" w:rsidTr="008E2739">
        <w:trPr>
          <w:tblCellSpacing w:w="0" w:type="dxa"/>
        </w:trPr>
        <w:tc>
          <w:tcPr>
            <w:tcW w:w="873" w:type="dxa"/>
            <w:vAlign w:val="center"/>
            <w:hideMark/>
          </w:tcPr>
          <w:p w:rsidR="008E2739" w:rsidRDefault="008E2739">
            <w:pPr>
              <w:rPr>
                <w:rFonts w:asciiTheme="minorHAnsi" w:eastAsiaTheme="minorEastAsia" w:hAnsiTheme="minorHAnsi" w:cstheme="minorBidi"/>
                <w:lang w:eastAsia="ru-RU"/>
              </w:rPr>
            </w:pPr>
          </w:p>
        </w:tc>
        <w:tc>
          <w:tcPr>
            <w:tcW w:w="624" w:type="dxa"/>
            <w:vAlign w:val="center"/>
            <w:hideMark/>
          </w:tcPr>
          <w:p w:rsidR="008E2739" w:rsidRDefault="008E2739">
            <w:pPr>
              <w:rPr>
                <w:sz w:val="24"/>
                <w:szCs w:val="24"/>
              </w:rPr>
            </w:pPr>
            <w:r>
              <w:t> </w:t>
            </w:r>
          </w:p>
        </w:tc>
      </w:tr>
    </w:tbl>
    <w:p w:rsidR="008E2739" w:rsidRDefault="008E2739" w:rsidP="008E2739">
      <w:pPr>
        <w:rPr>
          <w:vanish/>
        </w:rPr>
      </w:pPr>
    </w:p>
    <w:tbl>
      <w:tblPr>
        <w:tblW w:w="5000" w:type="pct"/>
        <w:tblCellSpacing w:w="0" w:type="dxa"/>
        <w:tblCellMar>
          <w:left w:w="0" w:type="dxa"/>
          <w:right w:w="0" w:type="dxa"/>
        </w:tblCellMar>
        <w:tblLook w:val="04A0"/>
      </w:tblPr>
      <w:tblGrid>
        <w:gridCol w:w="873"/>
        <w:gridCol w:w="7858"/>
        <w:gridCol w:w="624"/>
      </w:tblGrid>
      <w:tr w:rsidR="008E2739" w:rsidTr="008E2739">
        <w:trPr>
          <w:trHeight w:val="150"/>
          <w:tblCellSpacing w:w="0" w:type="dxa"/>
        </w:trPr>
        <w:tc>
          <w:tcPr>
            <w:tcW w:w="840" w:type="dxa"/>
            <w:shd w:val="clear" w:color="auto" w:fill="FFFFFF"/>
            <w:vAlign w:val="center"/>
            <w:hideMark/>
          </w:tcPr>
          <w:p w:rsidR="008E2739" w:rsidRDefault="008E2739">
            <w:pPr>
              <w:rPr>
                <w:rFonts w:asciiTheme="minorHAnsi" w:eastAsiaTheme="minorEastAsia" w:hAnsiTheme="minorHAnsi" w:cstheme="minorBidi"/>
                <w:lang w:eastAsia="ru-RU"/>
              </w:rPr>
            </w:pPr>
          </w:p>
        </w:tc>
        <w:tc>
          <w:tcPr>
            <w:tcW w:w="7560" w:type="dxa"/>
            <w:shd w:val="clear" w:color="auto" w:fill="FFFFFF"/>
            <w:vAlign w:val="center"/>
            <w:hideMark/>
          </w:tcPr>
          <w:p w:rsidR="008E2739" w:rsidRDefault="008E2739">
            <w:pPr>
              <w:rPr>
                <w:rFonts w:asciiTheme="minorHAnsi" w:eastAsiaTheme="minorEastAsia" w:hAnsiTheme="minorHAnsi" w:cstheme="minorBidi"/>
                <w:lang w:eastAsia="ru-RU"/>
              </w:rPr>
            </w:pPr>
          </w:p>
        </w:tc>
        <w:tc>
          <w:tcPr>
            <w:tcW w:w="600" w:type="dxa"/>
            <w:shd w:val="clear" w:color="auto" w:fill="FFFFFF"/>
            <w:vAlign w:val="center"/>
            <w:hideMark/>
          </w:tcPr>
          <w:p w:rsidR="008E2739" w:rsidRDefault="008E2739">
            <w:pPr>
              <w:rPr>
                <w:rFonts w:asciiTheme="minorHAnsi" w:eastAsiaTheme="minorEastAsia" w:hAnsiTheme="minorHAnsi" w:cstheme="minorBidi"/>
                <w:lang w:eastAsia="ru-RU"/>
              </w:rPr>
            </w:pPr>
          </w:p>
        </w:tc>
      </w:tr>
      <w:tr w:rsidR="008E2739" w:rsidTr="008E2739">
        <w:trPr>
          <w:tblCellSpacing w:w="0" w:type="dxa"/>
        </w:trPr>
        <w:tc>
          <w:tcPr>
            <w:tcW w:w="840" w:type="dxa"/>
            <w:vAlign w:val="center"/>
            <w:hideMark/>
          </w:tcPr>
          <w:p w:rsidR="008E2739" w:rsidRDefault="008E2739">
            <w:pPr>
              <w:rPr>
                <w:rFonts w:asciiTheme="minorHAnsi" w:eastAsiaTheme="minorEastAsia" w:hAnsiTheme="minorHAnsi" w:cstheme="minorBidi"/>
                <w:lang w:eastAsia="ru-RU"/>
              </w:rPr>
            </w:pPr>
          </w:p>
        </w:tc>
        <w:tc>
          <w:tcPr>
            <w:tcW w:w="7560" w:type="dxa"/>
            <w:vAlign w:val="center"/>
          </w:tcPr>
          <w:p w:rsidR="008E2739" w:rsidRDefault="008E2739">
            <w:pPr>
              <w:rPr>
                <w:b/>
                <w:bCs/>
                <w:sz w:val="36"/>
                <w:szCs w:val="36"/>
              </w:rPr>
            </w:pPr>
            <w:r>
              <w:rPr>
                <w:b/>
                <w:bCs/>
                <w:sz w:val="36"/>
                <w:szCs w:val="36"/>
              </w:rPr>
              <w:t>Рынок сырьевых товаров</w:t>
            </w:r>
          </w:p>
          <w:p w:rsidR="008E2739" w:rsidRDefault="008E2739">
            <w:pPr>
              <w:spacing w:after="240"/>
              <w:rPr>
                <w:rFonts w:ascii="Times New Roman" w:hAnsi="Times New Roman"/>
                <w:sz w:val="24"/>
                <w:szCs w:val="24"/>
              </w:rPr>
            </w:pPr>
            <w:r>
              <w:rPr>
                <w:noProof/>
                <w:lang w:eastAsia="ru-RU"/>
              </w:rPr>
              <w:drawing>
                <wp:inline distT="0" distB="0" distL="0" distR="0">
                  <wp:extent cx="1190625" cy="1190625"/>
                  <wp:effectExtent l="19050" t="0" r="9525" b="0"/>
                  <wp:docPr id="4" name="Рисунок 3" descr="Описание: cid:image005.jpg@01CE3479.427EB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cid:image005.jpg@01CE3479.427EB390"/>
                          <pic:cNvPicPr>
                            <a:picLocks noChangeAspect="1" noChangeArrowheads="1"/>
                          </pic:cNvPicPr>
                        </pic:nvPicPr>
                        <pic:blipFill>
                          <a:blip r:embed="rId8" r:link="rId9" cstate="print"/>
                          <a:srcRect/>
                          <a:stretch>
                            <a:fillRect/>
                          </a:stretch>
                        </pic:blipFill>
                        <pic:spPr bwMode="auto">
                          <a:xfrm>
                            <a:off x="0" y="0"/>
                            <a:ext cx="1190625" cy="1190625"/>
                          </a:xfrm>
                          <a:prstGeom prst="rect">
                            <a:avLst/>
                          </a:prstGeom>
                          <a:noFill/>
                          <a:ln w="9525">
                            <a:noFill/>
                            <a:miter lim="800000"/>
                            <a:headEnd/>
                            <a:tailEnd/>
                          </a:ln>
                        </pic:spPr>
                      </pic:pic>
                    </a:graphicData>
                  </a:graphic>
                </wp:inline>
              </w:drawing>
            </w:r>
          </w:p>
          <w:p w:rsidR="008E2739" w:rsidRDefault="008E2739">
            <w:pPr>
              <w:rPr>
                <w:b/>
                <w:bCs/>
                <w:color w:val="1F497D"/>
                <w:sz w:val="28"/>
                <w:szCs w:val="28"/>
              </w:rPr>
            </w:pPr>
            <w:r>
              <w:rPr>
                <w:b/>
                <w:bCs/>
                <w:sz w:val="28"/>
                <w:szCs w:val="28"/>
              </w:rPr>
              <w:t xml:space="preserve">Дмитрий </w:t>
            </w:r>
            <w:proofErr w:type="spellStart"/>
            <w:r>
              <w:rPr>
                <w:b/>
                <w:bCs/>
                <w:sz w:val="28"/>
                <w:szCs w:val="28"/>
              </w:rPr>
              <w:t>Чернядьев</w:t>
            </w:r>
            <w:proofErr w:type="spellEnd"/>
            <w:r>
              <w:rPr>
                <w:b/>
                <w:bCs/>
                <w:sz w:val="28"/>
                <w:szCs w:val="28"/>
              </w:rPr>
              <w:t xml:space="preserve">, </w:t>
            </w:r>
            <w:r>
              <w:rPr>
                <w:b/>
                <w:bCs/>
                <w:sz w:val="28"/>
                <w:szCs w:val="28"/>
              </w:rPr>
              <w:br/>
            </w:r>
            <w:r>
              <w:rPr>
                <w:b/>
                <w:bCs/>
                <w:color w:val="FF0000"/>
                <w:sz w:val="28"/>
                <w:szCs w:val="28"/>
              </w:rPr>
              <w:t>аналитик УК «Альфа-Капитал»</w:t>
            </w:r>
          </w:p>
          <w:p w:rsidR="008E2739" w:rsidRDefault="008E2739">
            <w:pPr>
              <w:rPr>
                <w:b/>
                <w:bCs/>
                <w:color w:val="1F497D"/>
              </w:rPr>
            </w:pPr>
          </w:p>
          <w:p w:rsidR="008E2739" w:rsidRDefault="008E2739">
            <w:r>
              <w:t xml:space="preserve">Слабые макроэкономические данные из США и Европы и Китая привели к снижению цен промышленных металлов и нефти. </w:t>
            </w:r>
          </w:p>
          <w:p w:rsidR="008E2739" w:rsidRDefault="008E2739">
            <w:r>
              <w:t xml:space="preserve">Промышленные металлы снизились до уровня середины 2010 года из-за того, что рост ВВП Китая в </w:t>
            </w:r>
            <w:r>
              <w:rPr>
                <w:lang w:val="en-US"/>
              </w:rPr>
              <w:t>I</w:t>
            </w:r>
            <w:r>
              <w:t xml:space="preserve"> квартале составил 7,7% при ожиданиях в 8,0%. Китай является основным драйвером рынка промышленных металлов, поэтому относительно низкие темпы роста его экономики негативно сказываются на их котировках.</w:t>
            </w:r>
          </w:p>
          <w:p w:rsidR="008E2739" w:rsidRDefault="008E2739">
            <w:pPr>
              <w:rPr>
                <w:color w:val="1F497D"/>
              </w:rPr>
            </w:pPr>
            <w:r>
              <w:t xml:space="preserve">Цена нефти (сорт </w:t>
            </w:r>
            <w:r>
              <w:rPr>
                <w:lang w:val="en-US"/>
              </w:rPr>
              <w:t>Brent</w:t>
            </w:r>
            <w:r>
              <w:t>) подошла вплотную к нижней границе диапазона 100–120 долл.  Представители ОПЕК заявили, что пока не собираются снижать объемы добычи для того, чтобы поддержать цену нефти. При этом они считают, что цена ниже 100 долл.  необоснованна ни с точки зрения покупателей, ни с точки зрения продавцов. Следующая встреча стран – членов ОПЕК состоится 31 мая.</w:t>
            </w:r>
          </w:p>
        </w:tc>
        <w:tc>
          <w:tcPr>
            <w:tcW w:w="600" w:type="dxa"/>
            <w:vAlign w:val="center"/>
            <w:hideMark/>
          </w:tcPr>
          <w:p w:rsidR="008E2739" w:rsidRDefault="008E2739">
            <w:pPr>
              <w:rPr>
                <w:sz w:val="24"/>
                <w:szCs w:val="24"/>
              </w:rPr>
            </w:pPr>
            <w:r>
              <w:t> </w:t>
            </w:r>
          </w:p>
        </w:tc>
      </w:tr>
    </w:tbl>
    <w:p w:rsidR="009E661B" w:rsidRDefault="009E661B"/>
    <w:sectPr w:rsidR="009E661B" w:rsidSect="009E661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E2739"/>
    <w:rsid w:val="008E2739"/>
    <w:rsid w:val="009E66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739"/>
    <w:pPr>
      <w:spacing w:after="0" w:line="240" w:lineRule="auto"/>
    </w:pPr>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E2739"/>
    <w:rPr>
      <w:rFonts w:ascii="Tahoma" w:hAnsi="Tahoma" w:cs="Tahoma"/>
      <w:sz w:val="16"/>
      <w:szCs w:val="16"/>
    </w:rPr>
  </w:style>
  <w:style w:type="character" w:customStyle="1" w:styleId="a4">
    <w:name w:val="Текст выноски Знак"/>
    <w:basedOn w:val="a0"/>
    <w:link w:val="a3"/>
    <w:uiPriority w:val="99"/>
    <w:semiHidden/>
    <w:rsid w:val="008E273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3068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cid:image003.jpg@01CE3A86.105F690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cid:image002.jpg@01CE3A86.105F6900"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cid:image005.jpg@01CE3A86.105F69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430</Words>
  <Characters>2455</Characters>
  <Application>Microsoft Office Word</Application>
  <DocSecurity>0</DocSecurity>
  <Lines>20</Lines>
  <Paragraphs>5</Paragraphs>
  <ScaleCrop>false</ScaleCrop>
  <Company>Finam</Company>
  <LinksUpToDate>false</LinksUpToDate>
  <CharactersWithSpaces>2880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syakovleva</dc:creator>
  <cp:lastModifiedBy>syakovleva</cp:lastModifiedBy>
  <cp:revision>1</cp:revision>
  <dcterms:created xsi:type="dcterms:W3CDTF">2013-04-16T06:12:00Z</dcterms:created>
  <dcterms:modified xsi:type="dcterms:W3CDTF">2013-04-16T06:17:00Z</dcterms:modified>
</cp:coreProperties>
</file>