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2F2F2" w:themeColor="background1" w:themeShade="F2"/>
  <w:body>
    <w:tbl>
      <w:tblPr>
        <w:tblW w:w="10542" w:type="dxa"/>
        <w:tblCellSpacing w:w="0" w:type="dxa"/>
        <w:tblCellMar>
          <w:left w:w="0" w:type="dxa"/>
          <w:right w:w="0" w:type="dxa"/>
        </w:tblCellMar>
        <w:tblLook w:val="04A0" w:firstRow="1" w:lastRow="0" w:firstColumn="1" w:lastColumn="0" w:noHBand="0" w:noVBand="1"/>
      </w:tblPr>
      <w:tblGrid>
        <w:gridCol w:w="6"/>
        <w:gridCol w:w="10530"/>
        <w:gridCol w:w="6"/>
      </w:tblGrid>
      <w:tr w:rsidR="003C38A6" w:rsidTr="003C38A6">
        <w:trPr>
          <w:tblCellSpacing w:w="0" w:type="dxa"/>
        </w:trPr>
        <w:tc>
          <w:tcPr>
            <w:tcW w:w="0" w:type="auto"/>
            <w:vAlign w:val="center"/>
            <w:hideMark/>
          </w:tcPr>
          <w:p w:rsidR="003C38A6" w:rsidRDefault="003C38A6"/>
        </w:tc>
        <w:tc>
          <w:tcPr>
            <w:tcW w:w="0" w:type="auto"/>
            <w:vAlign w:val="center"/>
            <w:hideMark/>
          </w:tcPr>
          <w:tbl>
            <w:tblPr>
              <w:tblW w:w="10500" w:type="dxa"/>
              <w:tblCellSpacing w:w="0" w:type="dxa"/>
              <w:tblCellMar>
                <w:left w:w="0" w:type="dxa"/>
                <w:right w:w="0" w:type="dxa"/>
              </w:tblCellMar>
              <w:tblLook w:val="04A0" w:firstRow="1" w:lastRow="0" w:firstColumn="1" w:lastColumn="0" w:noHBand="0" w:noVBand="1"/>
            </w:tblPr>
            <w:tblGrid>
              <w:gridCol w:w="10530"/>
            </w:tblGrid>
            <w:tr w:rsidR="003C38A6">
              <w:trPr>
                <w:tblCellSpacing w:w="0" w:type="dxa"/>
              </w:trPr>
              <w:tc>
                <w:tcPr>
                  <w:tcW w:w="0" w:type="auto"/>
                  <w:vAlign w:val="center"/>
                  <w:hideMark/>
                </w:tcPr>
                <w:p w:rsidR="003C38A6" w:rsidRDefault="003C38A6">
                  <w:pPr>
                    <w:rPr>
                      <w:sz w:val="24"/>
                      <w:szCs w:val="24"/>
                    </w:rPr>
                  </w:pPr>
                  <w:r>
                    <w:rPr>
                      <w:rFonts w:ascii="Arial" w:hAnsi="Arial" w:cs="Arial"/>
                      <w:noProof/>
                      <w:color w:val="1F497D"/>
                      <w:sz w:val="26"/>
                      <w:szCs w:val="26"/>
                      <w:lang w:eastAsia="ru-RU"/>
                    </w:rPr>
                    <w:drawing>
                      <wp:inline distT="0" distB="0" distL="0" distR="0">
                        <wp:extent cx="6677025" cy="2447925"/>
                        <wp:effectExtent l="0" t="0" r="9525" b="9525"/>
                        <wp:docPr id="8" name="Рисунок 8" descr="cid:image001.jpg@01CE7F0D.5D522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jpg@01CE7F0D.5D5225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6677025" cy="2447925"/>
                                </a:xfrm>
                                <a:prstGeom prst="rect">
                                  <a:avLst/>
                                </a:prstGeom>
                                <a:noFill/>
                                <a:ln>
                                  <a:noFill/>
                                </a:ln>
                              </pic:spPr>
                            </pic:pic>
                          </a:graphicData>
                        </a:graphic>
                      </wp:inline>
                    </w:drawing>
                  </w:r>
                </w:p>
              </w:tc>
            </w:tr>
            <w:tr w:rsidR="003C38A6">
              <w:trPr>
                <w:tblCellSpacing w:w="0" w:type="dxa"/>
              </w:trPr>
              <w:tc>
                <w:tcPr>
                  <w:tcW w:w="0" w:type="auto"/>
                  <w:shd w:val="clear" w:color="auto" w:fill="F5F5F5"/>
                  <w:vAlign w:val="center"/>
                  <w:hideMark/>
                </w:tcPr>
                <w:tbl>
                  <w:tblPr>
                    <w:tblW w:w="5000" w:type="pct"/>
                    <w:tblCellSpacing w:w="0" w:type="dxa"/>
                    <w:tblCellMar>
                      <w:left w:w="0" w:type="dxa"/>
                      <w:right w:w="0" w:type="dxa"/>
                    </w:tblCellMar>
                    <w:tblLook w:val="04A0" w:firstRow="1" w:lastRow="0" w:firstColumn="1" w:lastColumn="0" w:noHBand="0" w:noVBand="1"/>
                  </w:tblPr>
                  <w:tblGrid>
                    <w:gridCol w:w="409"/>
                    <w:gridCol w:w="10115"/>
                    <w:gridCol w:w="6"/>
                  </w:tblGrid>
                  <w:tr w:rsidR="003C38A6">
                    <w:trPr>
                      <w:trHeight w:val="150"/>
                      <w:tblCellSpacing w:w="0" w:type="dxa"/>
                    </w:trPr>
                    <w:tc>
                      <w:tcPr>
                        <w:tcW w:w="408" w:type="dxa"/>
                        <w:shd w:val="clear" w:color="auto" w:fill="FFFFFF"/>
                        <w:vAlign w:val="center"/>
                        <w:hideMark/>
                      </w:tcPr>
                      <w:p w:rsidR="003C38A6" w:rsidRDefault="003C38A6"/>
                    </w:tc>
                    <w:tc>
                      <w:tcPr>
                        <w:tcW w:w="10101" w:type="dxa"/>
                        <w:shd w:val="clear" w:color="auto" w:fill="FFFFFF"/>
                        <w:vAlign w:val="center"/>
                        <w:hideMark/>
                      </w:tcPr>
                      <w:p w:rsidR="003C38A6" w:rsidRDefault="003C38A6">
                        <w:pPr>
                          <w:rPr>
                            <w:rFonts w:eastAsia="Times New Roman"/>
                            <w:sz w:val="20"/>
                            <w:szCs w:val="20"/>
                          </w:rPr>
                        </w:pPr>
                      </w:p>
                    </w:tc>
                    <w:tc>
                      <w:tcPr>
                        <w:tcW w:w="6" w:type="dxa"/>
                        <w:shd w:val="clear" w:color="auto" w:fill="FFFFFF"/>
                        <w:vAlign w:val="center"/>
                        <w:hideMark/>
                      </w:tcPr>
                      <w:p w:rsidR="003C38A6" w:rsidRDefault="003C38A6">
                        <w:pPr>
                          <w:rPr>
                            <w:rFonts w:eastAsia="Times New Roman"/>
                            <w:sz w:val="20"/>
                            <w:szCs w:val="20"/>
                          </w:rPr>
                        </w:pPr>
                      </w:p>
                    </w:tc>
                  </w:tr>
                  <w:tr w:rsidR="003C38A6">
                    <w:trPr>
                      <w:trHeight w:val="420"/>
                      <w:tblCellSpacing w:w="0" w:type="dxa"/>
                    </w:trPr>
                    <w:tc>
                      <w:tcPr>
                        <w:tcW w:w="408" w:type="dxa"/>
                        <w:vAlign w:val="center"/>
                        <w:hideMark/>
                      </w:tcPr>
                      <w:p w:rsidR="003C38A6" w:rsidRDefault="003C38A6">
                        <w:pPr>
                          <w:rPr>
                            <w:sz w:val="24"/>
                            <w:szCs w:val="24"/>
                          </w:rPr>
                        </w:pPr>
                        <w:r>
                          <w:rPr>
                            <w:rFonts w:ascii="Arial" w:hAnsi="Arial" w:cs="Arial"/>
                            <w:sz w:val="26"/>
                            <w:szCs w:val="26"/>
                          </w:rPr>
                          <w:t> </w:t>
                        </w:r>
                      </w:p>
                    </w:tc>
                    <w:tc>
                      <w:tcPr>
                        <w:tcW w:w="10101" w:type="dxa"/>
                        <w:vAlign w:val="center"/>
                        <w:hideMark/>
                      </w:tcPr>
                      <w:p w:rsidR="003C38A6" w:rsidRDefault="003C38A6"/>
                    </w:tc>
                    <w:tc>
                      <w:tcPr>
                        <w:tcW w:w="6" w:type="dxa"/>
                        <w:vAlign w:val="center"/>
                        <w:hideMark/>
                      </w:tcPr>
                      <w:p w:rsidR="003C38A6" w:rsidRDefault="003C38A6">
                        <w:pPr>
                          <w:rPr>
                            <w:rFonts w:eastAsia="Times New Roman"/>
                            <w:sz w:val="20"/>
                            <w:szCs w:val="20"/>
                          </w:rPr>
                        </w:pPr>
                      </w:p>
                    </w:tc>
                  </w:tr>
                  <w:tr w:rsidR="003C38A6">
                    <w:trPr>
                      <w:tblCellSpacing w:w="0" w:type="dxa"/>
                    </w:trPr>
                    <w:tc>
                      <w:tcPr>
                        <w:tcW w:w="408" w:type="dxa"/>
                        <w:vAlign w:val="center"/>
                        <w:hideMark/>
                      </w:tcPr>
                      <w:p w:rsidR="003C38A6" w:rsidRDefault="003C38A6">
                        <w:pPr>
                          <w:rPr>
                            <w:rFonts w:eastAsia="Times New Roman"/>
                            <w:sz w:val="20"/>
                            <w:szCs w:val="20"/>
                          </w:rPr>
                        </w:pPr>
                      </w:p>
                    </w:tc>
                    <w:tc>
                      <w:tcPr>
                        <w:tcW w:w="10101" w:type="dxa"/>
                        <w:vAlign w:val="center"/>
                        <w:hideMark/>
                      </w:tcPr>
                      <w:tbl>
                        <w:tblPr>
                          <w:tblW w:w="5000" w:type="pct"/>
                          <w:tblCellSpacing w:w="0" w:type="dxa"/>
                          <w:tblCellMar>
                            <w:left w:w="0" w:type="dxa"/>
                            <w:right w:w="0" w:type="dxa"/>
                          </w:tblCellMar>
                          <w:tblLook w:val="04A0" w:firstRow="1" w:lastRow="0" w:firstColumn="1" w:lastColumn="0" w:noHBand="0" w:noVBand="1"/>
                        </w:tblPr>
                        <w:tblGrid>
                          <w:gridCol w:w="9515"/>
                          <w:gridCol w:w="600"/>
                        </w:tblGrid>
                        <w:tr w:rsidR="003C38A6">
                          <w:trPr>
                            <w:tblCellSpacing w:w="0" w:type="dxa"/>
                          </w:trPr>
                          <w:tc>
                            <w:tcPr>
                              <w:tcW w:w="0" w:type="auto"/>
                              <w:vAlign w:val="center"/>
                              <w:hideMark/>
                            </w:tcPr>
                            <w:p w:rsidR="003C38A6" w:rsidRDefault="003C38A6">
                              <w:pPr>
                                <w:rPr>
                                  <w:sz w:val="24"/>
                                  <w:szCs w:val="24"/>
                                </w:rPr>
                              </w:pPr>
                              <w:r>
                                <w:rPr>
                                  <w:rFonts w:ascii="Arial" w:hAnsi="Arial" w:cs="Arial"/>
                                  <w:color w:val="1F497D"/>
                                  <w:sz w:val="26"/>
                                  <w:szCs w:val="26"/>
                                </w:rPr>
                                <w:t> </w:t>
                              </w:r>
                              <w:r>
                                <w:rPr>
                                  <w:rFonts w:ascii="Arial" w:hAnsi="Arial" w:cs="Arial"/>
                                  <w:b/>
                                  <w:bCs/>
                                  <w:sz w:val="26"/>
                                  <w:szCs w:val="26"/>
                                </w:rPr>
                                <w:t>Рынок акций</w:t>
                              </w:r>
                            </w:p>
                            <w:p w:rsidR="003C38A6" w:rsidRDefault="003C38A6">
                              <w:r>
                                <w:rPr>
                                  <w:rFonts w:ascii="Arial" w:hAnsi="Arial" w:cs="Arial"/>
                                  <w:sz w:val="26"/>
                                  <w:szCs w:val="26"/>
                                </w:rPr>
                                <w:t> </w:t>
                              </w:r>
                            </w:p>
                            <w:p w:rsidR="003C38A6" w:rsidRDefault="003C38A6">
                              <w:pPr>
                                <w:spacing w:after="240"/>
                              </w:pPr>
                              <w:r>
                                <w:rPr>
                                  <w:rFonts w:ascii="Arial" w:hAnsi="Arial" w:cs="Arial"/>
                                  <w:noProof/>
                                  <w:sz w:val="26"/>
                                  <w:szCs w:val="26"/>
                                  <w:lang w:eastAsia="ru-RU"/>
                                </w:rPr>
                                <w:drawing>
                                  <wp:inline distT="0" distB="0" distL="0" distR="0">
                                    <wp:extent cx="1190625" cy="1190625"/>
                                    <wp:effectExtent l="0" t="0" r="9525" b="9525"/>
                                    <wp:docPr id="7" name="Рисунок 7"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id:image002.jpg@01CE7D8D.1A6B3F6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3C38A6" w:rsidRDefault="003C38A6">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3C38A6" w:rsidRDefault="003C38A6">
                              <w:r>
                                <w:rPr>
                                  <w:rFonts w:ascii="Calibri" w:hAnsi="Calibri"/>
                                  <w:color w:val="1F497D"/>
                                </w:rPr>
                                <w:t> </w:t>
                              </w:r>
                            </w:p>
                            <w:p w:rsidR="003C38A6" w:rsidRDefault="003C38A6">
                              <w:pPr>
                                <w:jc w:val="both"/>
                              </w:pPr>
                              <w:r>
                                <w:rPr>
                                  <w:rFonts w:ascii="Arial" w:hAnsi="Arial" w:cs="Arial"/>
                                </w:rPr>
                                <w:t xml:space="preserve">Коррекция на глобальных рынках акций продолжается уже третью неделею на фоне снижения «аппетита» инвесторов к риску. Из общего тренда выделяется только европейский рынок, продолжающий расти на фоне запуска стимулирующих программ и сильного снижения евро по отношению к доллару. Падение спроса на риск происходит на фоне повышенной волатильности цен на сырьевые товары и неоднозначных сигналов, приходящих из экономик США и Китая. </w:t>
                              </w:r>
                            </w:p>
                            <w:p w:rsidR="003C38A6" w:rsidRDefault="003C38A6">
                              <w:pPr>
                                <w:jc w:val="both"/>
                              </w:pPr>
                              <w:r>
                                <w:rPr>
                                  <w:rFonts w:ascii="Arial" w:hAnsi="Arial" w:cs="Arial"/>
                                </w:rPr>
                                <w:t> </w:t>
                              </w:r>
                            </w:p>
                            <w:p w:rsidR="003C38A6" w:rsidRDefault="003C38A6">
                              <w:pPr>
                                <w:jc w:val="both"/>
                              </w:pPr>
                              <w:r>
                                <w:rPr>
                                  <w:rFonts w:ascii="Arial" w:hAnsi="Arial" w:cs="Arial"/>
                                </w:rPr>
                                <w:t>Возобновившиеся в выходные разговоры о выходе Греции из зоны евро также не добавили рынкам оптимизма, так как последствия такого развития событий мало предсказуемы.</w:t>
                              </w:r>
                            </w:p>
                            <w:p w:rsidR="003C38A6" w:rsidRDefault="003C38A6">
                              <w:pPr>
                                <w:jc w:val="both"/>
                              </w:pPr>
                              <w:r>
                                <w:rPr>
                                  <w:rFonts w:ascii="Arial" w:hAnsi="Arial" w:cs="Arial"/>
                                </w:rPr>
                                <w:t> </w:t>
                              </w:r>
                            </w:p>
                            <w:p w:rsidR="003C38A6" w:rsidRDefault="003C38A6">
                              <w:pPr>
                                <w:jc w:val="both"/>
                              </w:pPr>
                              <w:r>
                                <w:rPr>
                                  <w:rFonts w:ascii="Arial" w:hAnsi="Arial" w:cs="Arial"/>
                                </w:rPr>
                                <w:t xml:space="preserve">В ближайшие дни внимание инвесторов будет приковано к ценам на нефть, а также к выходящей за океаном макро статистики. К тому же в среду состояться заседание ФРС, после которого традиционно прозвучат комментарии главы регулятора, относительно ситуации в макроэкономике и планов, касающихся монетарной политики.  Сюрпризов от ФРС </w:t>
                              </w:r>
                              <w:r>
                                <w:rPr>
                                  <w:rFonts w:ascii="Arial" w:hAnsi="Arial" w:cs="Arial"/>
                                </w:rPr>
                                <w:lastRenderedPageBreak/>
                                <w:t xml:space="preserve">ждать не стоит, но если сроки перехода к циклу роста ставок будут отодвинуты на более поздний срок, то «быки» постепенно будут возвращаться на рынок акций. </w:t>
                              </w:r>
                            </w:p>
                            <w:p w:rsidR="003C38A6" w:rsidRDefault="003C38A6">
                              <w:pPr>
                                <w:jc w:val="both"/>
                              </w:pPr>
                              <w:r>
                                <w:rPr>
                                  <w:rFonts w:ascii="Arial" w:hAnsi="Arial" w:cs="Arial"/>
                                </w:rPr>
                                <w:t> </w:t>
                              </w:r>
                            </w:p>
                            <w:p w:rsidR="003C38A6" w:rsidRDefault="003C38A6">
                              <w:pPr>
                                <w:jc w:val="both"/>
                              </w:pPr>
                              <w:r>
                                <w:rPr>
                                  <w:rFonts w:ascii="Arial" w:hAnsi="Arial" w:cs="Arial"/>
                                  <w:b/>
                                  <w:bCs/>
                                </w:rPr>
                                <w:t xml:space="preserve">На российском рынке сохраняется «безыдейность» и в наших фондах мы продолжаем сокращать долю Российских бумаг для продолжения роста российскому рынку нужен сильный драйвер, появление которого в краткосрочной перспективе, на наш взгляд, маловероятно. </w:t>
                              </w:r>
                            </w:p>
                            <w:p w:rsidR="003C38A6" w:rsidRDefault="003C38A6">
                              <w:r>
                                <w:rPr>
                                  <w:rFonts w:ascii="Calibri" w:hAnsi="Calibri"/>
                                  <w:color w:val="1F497D"/>
                                  <w:sz w:val="36"/>
                                  <w:szCs w:val="36"/>
                                </w:rPr>
                                <w:t> </w:t>
                              </w:r>
                            </w:p>
                            <w:p w:rsidR="003C38A6" w:rsidRDefault="003C38A6">
                              <w:r>
                                <w:rPr>
                                  <w:rFonts w:ascii="Arial" w:hAnsi="Arial" w:cs="Arial"/>
                                  <w:b/>
                                  <w:bCs/>
                                  <w:color w:val="1F497D"/>
                                  <w:sz w:val="26"/>
                                  <w:szCs w:val="26"/>
                                </w:rPr>
                                <w:t> </w:t>
                              </w:r>
                            </w:p>
                            <w:p w:rsidR="003C38A6" w:rsidRDefault="003C38A6">
                              <w:r>
                                <w:rPr>
                                  <w:rFonts w:ascii="Calibri" w:hAnsi="Calibri"/>
                                  <w:b/>
                                  <w:bCs/>
                                  <w:color w:val="1F497D"/>
                                </w:rPr>
                                <w:t> </w:t>
                              </w:r>
                            </w:p>
                            <w:p w:rsidR="003C38A6" w:rsidRDefault="003C38A6">
                              <w:r>
                                <w:rPr>
                                  <w:rFonts w:ascii="Arial" w:hAnsi="Arial" w:cs="Arial"/>
                                  <w:b/>
                                  <w:bCs/>
                                  <w:sz w:val="26"/>
                                  <w:szCs w:val="26"/>
                                </w:rPr>
                                <w:t>Рынок облигаций</w:t>
                              </w:r>
                            </w:p>
                            <w:p w:rsidR="003C38A6" w:rsidRDefault="003C38A6">
                              <w:pPr>
                                <w:spacing w:after="240"/>
                              </w:pPr>
                              <w:r>
                                <w:rPr>
                                  <w:rFonts w:ascii="Arial" w:hAnsi="Arial" w:cs="Arial"/>
                                  <w:noProof/>
                                  <w:sz w:val="26"/>
                                  <w:szCs w:val="26"/>
                                  <w:lang w:eastAsia="ru-RU"/>
                                </w:rPr>
                                <w:drawing>
                                  <wp:inline distT="0" distB="0" distL="0" distR="0">
                                    <wp:extent cx="1190625" cy="1190625"/>
                                    <wp:effectExtent l="0" t="0" r="9525" b="9525"/>
                                    <wp:docPr id="6" name="Рисунок 6" descr="cid:image004.jpg@01CE7BFE.B94C5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id:image004.jpg@01CE7BFE.B94C54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rsidR="003C38A6" w:rsidRDefault="003C38A6">
                              <w:r>
                                <w:rPr>
                                  <w:rFonts w:ascii="Arial" w:hAnsi="Arial" w:cs="Arial"/>
                                  <w:b/>
                                  <w:bCs/>
                                  <w:sz w:val="26"/>
                                  <w:szCs w:val="26"/>
                                </w:rPr>
                                <w:t>Алексей Губин, </w:t>
                              </w:r>
                              <w:r>
                                <w:rPr>
                                  <w:rFonts w:ascii="Arial" w:hAnsi="Arial" w:cs="Arial"/>
                                  <w:b/>
                                  <w:bCs/>
                                  <w:sz w:val="26"/>
                                  <w:szCs w:val="26"/>
                                </w:rPr>
                                <w:br/>
                              </w:r>
                              <w:r>
                                <w:rPr>
                                  <w:rFonts w:ascii="Arial" w:hAnsi="Arial" w:cs="Arial"/>
                                  <w:b/>
                                  <w:bCs/>
                                  <w:color w:val="FF0000"/>
                                  <w:sz w:val="26"/>
                                  <w:szCs w:val="26"/>
                                </w:rPr>
                                <w:t>аналитик УК «Альфа-Капитал»</w:t>
                              </w:r>
                            </w:p>
                            <w:p w:rsidR="003C38A6" w:rsidRDefault="003C38A6">
                              <w:pPr>
                                <w:pStyle w:val="a30"/>
                              </w:pPr>
                              <w:r>
                                <w:rPr>
                                  <w:rFonts w:ascii="Arial" w:hAnsi="Arial" w:cs="Arial"/>
                                  <w:sz w:val="24"/>
                                  <w:szCs w:val="24"/>
                                </w:rPr>
                                <w:t>Пятничное решение ЦБ РФ снизить ключевую ставку на 1 п.п. не стало сюрпризом для рынка, скорее было воспринято как «non-event». По мнению ряда аналитиков, доходности рублевых госбумаг закладывали более существенное снижение и поэтому первой реакцией на решение Банка России была небольшая коррекция в сегменте госбумаг. Мы считаем, что снизив ставку на 1%, ЦБ РФ показал готовность к постепенной и аккуратной нормализации денежно-кредитной политики с оглядкой и на инфляцию, и на курс рубля, но также и на потребность в стимулировании кредитования и экономического роста.</w:t>
                              </w:r>
                            </w:p>
                            <w:p w:rsidR="003C38A6" w:rsidRDefault="003C38A6">
                              <w:pPr>
                                <w:pStyle w:val="a30"/>
                              </w:pPr>
                              <w:r>
                                <w:rPr>
                                  <w:rFonts w:ascii="Arial" w:hAnsi="Arial" w:cs="Arial"/>
                                  <w:sz w:val="24"/>
                                  <w:szCs w:val="24"/>
                                </w:rPr>
                                <w:t xml:space="preserve">На фоне данного решения нам кажется, что среднесрочные рублевые корпоративные и субфедеральные облигации высокого качества выглядят наиболее интересно т.к. в них заложен достаточно широкий спрэд как к ОФЗ, так и к ставке фондирования. </w:t>
                              </w:r>
                              <w:r>
                                <w:rPr>
                                  <w:rFonts w:ascii="Arial" w:hAnsi="Arial" w:cs="Arial"/>
                                  <w:b/>
                                  <w:bCs/>
                                  <w:sz w:val="24"/>
                                  <w:szCs w:val="24"/>
                                </w:rPr>
                                <w:t>Если закладывать снижение ключевой ставки до 10-11% к концу года, то мы можем ожидать снижения доходностей таких бумаг до 12-13% с текущих 15-16% годовых, что предполагает рост цен на 6-8%.</w:t>
                              </w:r>
                            </w:p>
                            <w:p w:rsidR="003C38A6" w:rsidRDefault="003C38A6">
                              <w:pPr>
                                <w:pStyle w:val="a30"/>
                              </w:pPr>
                              <w:r>
                                <w:rPr>
                                  <w:rFonts w:ascii="Arial" w:hAnsi="Arial" w:cs="Arial"/>
                                  <w:sz w:val="24"/>
                                  <w:szCs w:val="24"/>
                                </w:rPr>
                                <w:t xml:space="preserve">Основным фактором риска для российского рынка, как нам кажется, уже является не Украина, а цены на нефть. Да, остается риск вторичной эскалации украинского кризиса и, как следствие, возможного усиления санкций в отношении РФ. Однако подписание минских соглашений и общее видимое смягчение риторики данные риски несколько сглаживает. А вот коррекция нефтяных цен до уровней ниже 50 долларов за баррель может привести к коррекции и на российском долговом рынке, который показывает чуть ли не лучшие в мире результаты с начала года. </w:t>
                              </w:r>
                            </w:p>
                            <w:p w:rsidR="003C38A6" w:rsidRDefault="003C38A6">
                              <w:pPr>
                                <w:pStyle w:val="a30"/>
                              </w:pPr>
                              <w:r>
                                <w:rPr>
                                  <w:rFonts w:ascii="Arial" w:hAnsi="Arial" w:cs="Arial"/>
                                  <w:sz w:val="24"/>
                                  <w:szCs w:val="24"/>
                                </w:rPr>
                                <w:t>В базовом варианте мы ожидаем некой стабилизации котировок российских евробондов на текущих уровнях, не ждем значимых движений рынка.</w:t>
                              </w:r>
                            </w:p>
                            <w:p w:rsidR="003C38A6" w:rsidRDefault="003C38A6">
                              <w:pPr>
                                <w:pStyle w:val="a50"/>
                              </w:pPr>
                              <w:r>
                                <w:rPr>
                                  <w:sz w:val="28"/>
                                  <w:szCs w:val="28"/>
                                </w:rPr>
                                <w:t> </w:t>
                              </w:r>
                            </w:p>
                            <w:p w:rsidR="003C38A6" w:rsidRDefault="003C38A6">
                              <w:pPr>
                                <w:pStyle w:val="a30"/>
                              </w:pPr>
                              <w:r>
                                <w:rPr>
                                  <w:rFonts w:ascii="Arial" w:hAnsi="Arial" w:cs="Arial"/>
                                  <w:sz w:val="20"/>
                                  <w:szCs w:val="20"/>
                                </w:rPr>
                                <w:lastRenderedPageBreak/>
                                <w:t> </w:t>
                              </w:r>
                              <w:bookmarkStart w:id="0" w:name="_GoBack"/>
                              <w:bookmarkEnd w:id="0"/>
                            </w:p>
                            <w:p w:rsidR="003C38A6" w:rsidRDefault="003C38A6">
                              <w:r>
                                <w:rPr>
                                  <w:rFonts w:ascii="Arial" w:hAnsi="Arial" w:cs="Arial"/>
                                  <w:b/>
                                  <w:bCs/>
                                  <w:sz w:val="26"/>
                                  <w:szCs w:val="26"/>
                                </w:rPr>
                                <w:t>Рынок сырьевых товаров</w:t>
                              </w:r>
                            </w:p>
                            <w:p w:rsidR="003C38A6" w:rsidRDefault="003C38A6">
                              <w:pPr>
                                <w:spacing w:after="240"/>
                              </w:pPr>
                              <w:r>
                                <w:rPr>
                                  <w:rFonts w:ascii="Arial" w:hAnsi="Arial" w:cs="Arial"/>
                                  <w:noProof/>
                                  <w:sz w:val="26"/>
                                  <w:szCs w:val="26"/>
                                  <w:lang w:eastAsia="ru-RU"/>
                                </w:rPr>
                                <w:drawing>
                                  <wp:inline distT="0" distB="0" distL="0" distR="0">
                                    <wp:extent cx="1123950" cy="1123950"/>
                                    <wp:effectExtent l="0" t="0" r="0" b="0"/>
                                    <wp:docPr id="5" name="Рисунок 5" descr="cid:image002.jpg@01CE7D8D.1A6B3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id:image002.jpg@01CE7D8D.1A6B3F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p>
                            <w:p w:rsidR="003C38A6" w:rsidRDefault="003C38A6">
                              <w:r>
                                <w:rPr>
                                  <w:rFonts w:ascii="Arial" w:hAnsi="Arial" w:cs="Arial"/>
                                  <w:b/>
                                  <w:bCs/>
                                  <w:color w:val="1F497D"/>
                                  <w:sz w:val="26"/>
                                  <w:szCs w:val="26"/>
                                </w:rPr>
                                <w:t> </w:t>
                              </w:r>
                            </w:p>
                            <w:p w:rsidR="003C38A6" w:rsidRDefault="003C38A6">
                              <w:r>
                                <w:rPr>
                                  <w:rFonts w:ascii="Arial" w:hAnsi="Arial" w:cs="Arial"/>
                                  <w:b/>
                                  <w:bCs/>
                                  <w:sz w:val="26"/>
                                  <w:szCs w:val="26"/>
                                </w:rPr>
                                <w:t>Владимир Брагин,</w:t>
                              </w:r>
                              <w:r>
                                <w:rPr>
                                  <w:rFonts w:ascii="Arial" w:hAnsi="Arial" w:cs="Arial"/>
                                  <w:b/>
                                  <w:bCs/>
                                  <w:sz w:val="26"/>
                                  <w:szCs w:val="26"/>
                                </w:rPr>
                                <w:br/>
                              </w:r>
                              <w:r>
                                <w:rPr>
                                  <w:rFonts w:ascii="Arial" w:hAnsi="Arial" w:cs="Arial"/>
                                  <w:b/>
                                  <w:bCs/>
                                  <w:color w:val="FF0000"/>
                                  <w:sz w:val="26"/>
                                  <w:szCs w:val="26"/>
                                </w:rPr>
                                <w:t>директор по анализу финансовых рынков</w:t>
                              </w:r>
                              <w:r>
                                <w:rPr>
                                  <w:rFonts w:ascii="Arial" w:hAnsi="Arial" w:cs="Arial"/>
                                  <w:b/>
                                  <w:bCs/>
                                  <w:color w:val="FF0000"/>
                                  <w:sz w:val="26"/>
                                  <w:szCs w:val="26"/>
                                </w:rPr>
                                <w:br/>
                                <w:t>и макроэкономики УК «Альфа-Капитал»</w:t>
                              </w:r>
                            </w:p>
                            <w:p w:rsidR="003C38A6" w:rsidRDefault="003C38A6">
                              <w:pPr>
                                <w:pStyle w:val="a30"/>
                                <w:spacing w:after="120"/>
                              </w:pPr>
                              <w:r>
                                <w:rPr>
                                  <w:rFonts w:ascii="Arial" w:hAnsi="Arial" w:cs="Arial"/>
                                  <w:sz w:val="24"/>
                                  <w:szCs w:val="24"/>
                                </w:rPr>
                                <w:t xml:space="preserve">Фактор избыточного предложения нефти продолжает оказывать решающее влияние на ее котировки. Основная драма разворачивается вокруг марки </w:t>
                              </w:r>
                              <w:r>
                                <w:rPr>
                                  <w:rFonts w:ascii="Arial" w:hAnsi="Arial" w:cs="Arial"/>
                                  <w:sz w:val="24"/>
                                  <w:szCs w:val="24"/>
                                  <w:lang w:val="en-US"/>
                                </w:rPr>
                                <w:t>WTI</w:t>
                              </w:r>
                              <w:r>
                                <w:rPr>
                                  <w:rFonts w:ascii="Arial" w:hAnsi="Arial" w:cs="Arial"/>
                                  <w:sz w:val="24"/>
                                  <w:szCs w:val="24"/>
                                </w:rPr>
                                <w:t>. В пятницу вышел доклад Международного энергетического агентства (МЭА). Агентство прогнозирует, что США скоро могут исчерпать резервные мощности для хранения сырья, что окажет дополнительное давление на стоимость нефти в ближайшие месяцы. Излишки запасов нефти в США выросли до 72 миллионов баррелей. Добыча нефти в странах-членах ОПЕК в прошлом месяце составила 30,22 миллиона баррелей нефти в день (при квоте в 30 миллионов), снизившись на всего 90 тысяч баррелей в день.</w:t>
                              </w:r>
                            </w:p>
                            <w:p w:rsidR="003C38A6" w:rsidRDefault="003C38A6">
                              <w:pPr>
                                <w:pStyle w:val="a30"/>
                                <w:spacing w:after="120"/>
                              </w:pPr>
                              <w:r>
                                <w:rPr>
                                  <w:rFonts w:ascii="Arial" w:hAnsi="Arial" w:cs="Arial"/>
                                  <w:sz w:val="24"/>
                                  <w:szCs w:val="24"/>
                                </w:rPr>
                                <w:t>Ситуация вокруг нефти марки Brent чуть лучше, что привело к росту спреда ее цены между основными марками нефти. Хотя коммерческие запасы нефти в странах ОЭСР, по данным МЭА, выросли в январе на 23,1 миллиона баррелей - до 2,733 миллиарда баррелей, в абсолютном значении их уровень еще не слишком велик, чтобы напрямую сказываться на нефтяных котировках.</w:t>
                              </w:r>
                            </w:p>
                            <w:p w:rsidR="003C38A6" w:rsidRDefault="003C38A6">
                              <w:pPr>
                                <w:pStyle w:val="a30"/>
                                <w:spacing w:after="120"/>
                              </w:pPr>
                              <w:r>
                                <w:rPr>
                                  <w:rFonts w:ascii="Arial" w:hAnsi="Arial" w:cs="Arial"/>
                                  <w:sz w:val="24"/>
                                  <w:szCs w:val="24"/>
                                </w:rPr>
                                <w:t>Несмотря на рост запасов меди на биржевых складах цена остается стабильной, за последние 4 недели запасы выросли на 33%. Нейтральная реакция рынка объясняется ожиданием перехода биржевых запасов в реальный сектор экономики, в соответствии с сезонными факторами. В целом, цены на металлы относительно стабильны, стоит отметить только снижение никеля и алюминия на 2,3% и 1,7%, соответственно, на росте биржевых запасов.</w:t>
                              </w:r>
                            </w:p>
                            <w:p w:rsidR="003C38A6" w:rsidRDefault="003C38A6">
                              <w:pPr>
                                <w:pStyle w:val="a30"/>
                                <w:spacing w:after="120"/>
                              </w:pPr>
                              <w:r>
                                <w:rPr>
                                  <w:rFonts w:ascii="Arial" w:hAnsi="Arial" w:cs="Arial"/>
                                  <w:sz w:val="24"/>
                                  <w:szCs w:val="24"/>
                                </w:rPr>
                                <w:t xml:space="preserve">Драгоценные металлы находятся под давлением роста стоимости доллара, в ожидании заседания </w:t>
                              </w:r>
                              <w:r>
                                <w:rPr>
                                  <w:rFonts w:ascii="Arial" w:hAnsi="Arial" w:cs="Arial"/>
                                  <w:sz w:val="24"/>
                                  <w:szCs w:val="24"/>
                                  <w:lang w:val="en-US"/>
                                </w:rPr>
                                <w:t>FOMC</w:t>
                              </w:r>
                              <w:r>
                                <w:rPr>
                                  <w:rFonts w:ascii="Arial" w:hAnsi="Arial" w:cs="Arial"/>
                                  <w:sz w:val="24"/>
                                  <w:szCs w:val="24"/>
                                </w:rPr>
                                <w:t xml:space="preserve">, которое пройдет на текущей неделе. </w:t>
                              </w:r>
                            </w:p>
                            <w:p w:rsidR="003C38A6" w:rsidRDefault="003C38A6">
                              <w:pPr>
                                <w:pStyle w:val="a50"/>
                              </w:pPr>
                              <w:r>
                                <w:rPr>
                                  <w:sz w:val="28"/>
                                  <w:szCs w:val="28"/>
                                </w:rPr>
                                <w:t xml:space="preserve">Прогноз сырьевых рынков </w:t>
                              </w:r>
                            </w:p>
                            <w:p w:rsidR="003C38A6" w:rsidRDefault="003C38A6">
                              <w:pPr>
                                <w:pStyle w:val="a30"/>
                              </w:pPr>
                              <w:r>
                                <w:rPr>
                                  <w:rFonts w:ascii="Arial" w:hAnsi="Arial" w:cs="Arial"/>
                                  <w:b/>
                                  <w:bCs/>
                                  <w:color w:val="FF0000"/>
                                  <w:sz w:val="24"/>
                                  <w:szCs w:val="24"/>
                                </w:rPr>
                                <w:t>Нефть</w:t>
                              </w:r>
                            </w:p>
                            <w:p w:rsidR="003C38A6" w:rsidRDefault="003C38A6">
                              <w:pPr>
                                <w:pStyle w:val="a30"/>
                                <w:spacing w:before="0"/>
                              </w:pPr>
                              <w:r>
                                <w:rPr>
                                  <w:rFonts w:ascii="Arial" w:hAnsi="Arial" w:cs="Arial"/>
                                  <w:sz w:val="24"/>
                                  <w:szCs w:val="24"/>
                                </w:rPr>
                                <w:t xml:space="preserve">На текущих уровнях цены на нефть имеют больше шансов на рост, чем на падение на горизонте нескольких месяцев. Хотя спрос остается слабым, а ОПЕК не собирается сокращать добычу, низкие цены уже приводят к сокращению инвестиций в разведку и бурение, а также вызывают финансовые проблемы у нефтяных компаний в США и других развитых странах, где девальвация валюты оказалась несопоставима со снижением цен на нефть. При этом о восстановлении до </w:t>
                              </w:r>
                              <w:r>
                                <w:rPr>
                                  <w:rFonts w:ascii="Arial" w:hAnsi="Arial" w:cs="Arial"/>
                                  <w:sz w:val="24"/>
                                  <w:szCs w:val="24"/>
                                  <w:lang w:val="en-US"/>
                                </w:rPr>
                                <w:t>USD</w:t>
                              </w:r>
                              <w:r w:rsidRPr="003C38A6">
                                <w:rPr>
                                  <w:rFonts w:ascii="Arial" w:hAnsi="Arial" w:cs="Arial"/>
                                  <w:sz w:val="24"/>
                                  <w:szCs w:val="24"/>
                                </w:rPr>
                                <w:t xml:space="preserve"> </w:t>
                              </w:r>
                              <w:r>
                                <w:rPr>
                                  <w:rFonts w:ascii="Arial" w:hAnsi="Arial" w:cs="Arial"/>
                                  <w:sz w:val="24"/>
                                  <w:szCs w:val="24"/>
                                </w:rPr>
                                <w:t xml:space="preserve">90-100 за баррель речи пока не идет. Текущий взгляд – средняя цена в районе </w:t>
                              </w:r>
                              <w:r>
                                <w:rPr>
                                  <w:rFonts w:ascii="Arial" w:hAnsi="Arial" w:cs="Arial"/>
                                  <w:sz w:val="24"/>
                                  <w:szCs w:val="24"/>
                                  <w:lang w:val="en-US"/>
                                </w:rPr>
                                <w:t>USD</w:t>
                              </w:r>
                              <w:r>
                                <w:rPr>
                                  <w:rFonts w:ascii="Arial" w:hAnsi="Arial" w:cs="Arial"/>
                                  <w:sz w:val="24"/>
                                  <w:szCs w:val="24"/>
                                </w:rPr>
                                <w:t>55-60 за баррель в 2015 году.</w:t>
                              </w:r>
                            </w:p>
                            <w:p w:rsidR="003C38A6" w:rsidRDefault="003C38A6">
                              <w:pPr>
                                <w:pStyle w:val="a30"/>
                              </w:pPr>
                              <w:r>
                                <w:rPr>
                                  <w:rFonts w:ascii="Arial" w:hAnsi="Arial" w:cs="Arial"/>
                                  <w:b/>
                                  <w:bCs/>
                                  <w:color w:val="FF0000"/>
                                  <w:sz w:val="24"/>
                                  <w:szCs w:val="24"/>
                                </w:rPr>
                                <w:t>Драгоценные металлы</w:t>
                              </w:r>
                            </w:p>
                            <w:p w:rsidR="003C38A6" w:rsidRDefault="003C38A6">
                              <w:pPr>
                                <w:pStyle w:val="a30"/>
                                <w:spacing w:before="0"/>
                              </w:pPr>
                              <w:r>
                                <w:rPr>
                                  <w:rFonts w:ascii="Arial" w:hAnsi="Arial" w:cs="Arial"/>
                                  <w:sz w:val="24"/>
                                  <w:szCs w:val="24"/>
                                </w:rPr>
                                <w:lastRenderedPageBreak/>
                                <w:t xml:space="preserve">На рынке </w:t>
                              </w:r>
                              <w:r>
                                <w:rPr>
                                  <w:rFonts w:ascii="Arial" w:hAnsi="Arial" w:cs="Arial"/>
                                  <w:b/>
                                  <w:bCs/>
                                  <w:sz w:val="24"/>
                                  <w:szCs w:val="24"/>
                                </w:rPr>
                                <w:t>золота</w:t>
                              </w:r>
                              <w:r>
                                <w:rPr>
                                  <w:rFonts w:ascii="Arial" w:hAnsi="Arial" w:cs="Arial"/>
                                  <w:sz w:val="24"/>
                                  <w:szCs w:val="24"/>
                                </w:rPr>
                                <w:t>, а также</w:t>
                              </w:r>
                              <w:r>
                                <w:rPr>
                                  <w:rFonts w:ascii="Arial" w:hAnsi="Arial" w:cs="Arial"/>
                                  <w:b/>
                                  <w:bCs/>
                                  <w:sz w:val="24"/>
                                  <w:szCs w:val="24"/>
                                </w:rPr>
                                <w:t xml:space="preserve"> серебра</w:t>
                              </w:r>
                              <w:r>
                                <w:rPr>
                                  <w:rFonts w:ascii="Arial" w:hAnsi="Arial" w:cs="Arial"/>
                                  <w:sz w:val="24"/>
                                  <w:szCs w:val="24"/>
                                </w:rPr>
                                <w:t xml:space="preserve"> ситуация выглядит неоднозначно. С одной стороны, пока не наблюдается притока новых игроков, с другой – запуск программы количественного смягчения от ЕЦБ, а также геополитические риски будут способствовать росту цен драгоценных металлов.</w:t>
                              </w:r>
                            </w:p>
                            <w:p w:rsidR="003C38A6" w:rsidRDefault="003C38A6">
                              <w:pPr>
                                <w:pStyle w:val="a30"/>
                              </w:pPr>
                              <w:r>
                                <w:rPr>
                                  <w:rFonts w:ascii="Arial" w:hAnsi="Arial" w:cs="Arial"/>
                                  <w:b/>
                                  <w:bCs/>
                                  <w:color w:val="FF0000"/>
                                  <w:sz w:val="24"/>
                                  <w:szCs w:val="24"/>
                                </w:rPr>
                                <w:t>Промышленные металлы</w:t>
                              </w:r>
                            </w:p>
                            <w:p w:rsidR="003C38A6" w:rsidRDefault="003C38A6">
                              <w:pPr>
                                <w:pStyle w:val="a30"/>
                                <w:spacing w:before="0"/>
                              </w:pPr>
                              <w:r>
                                <w:rPr>
                                  <w:rFonts w:ascii="Arial" w:hAnsi="Arial" w:cs="Arial"/>
                                  <w:sz w:val="24"/>
                                  <w:szCs w:val="24"/>
                                </w:rPr>
                                <w:t xml:space="preserve">Цены </w:t>
                              </w:r>
                              <w:r>
                                <w:rPr>
                                  <w:rFonts w:ascii="Arial" w:hAnsi="Arial" w:cs="Arial"/>
                                  <w:b/>
                                  <w:bCs/>
                                  <w:sz w:val="24"/>
                                  <w:szCs w:val="24"/>
                                </w:rPr>
                                <w:t>промышленных металлов</w:t>
                              </w:r>
                              <w:r>
                                <w:rPr>
                                  <w:rFonts w:ascii="Arial" w:hAnsi="Arial" w:cs="Arial"/>
                                  <w:sz w:val="24"/>
                                  <w:szCs w:val="24"/>
                                </w:rPr>
                                <w:t xml:space="preserve"> имеют шансы на рост в том случае, если снижение цен на нефть приведет к оживлению мировой экономики. С другой стороны, этот рост будет ограниченным, так как ослабление валют стран, являющихся крупнейшими производителями металлов, а также снижение издержек из-за падения цен на нефть создают условия для ценовой войны. </w:t>
                              </w:r>
                            </w:p>
                            <w:p w:rsidR="003C38A6" w:rsidRDefault="003C38A6">
                              <w:pPr>
                                <w:pStyle w:val="a30"/>
                              </w:pPr>
                              <w:r>
                                <w:rPr>
                                  <w:rFonts w:ascii="Arial" w:hAnsi="Arial" w:cs="Arial"/>
                                  <w:sz w:val="22"/>
                                  <w:szCs w:val="22"/>
                                </w:rPr>
                                <w:t> </w:t>
                              </w:r>
                            </w:p>
                            <w:p w:rsidR="003C38A6" w:rsidRDefault="003C38A6" w:rsidP="003C38A6">
                              <w:pPr>
                                <w:pStyle w:val="a50"/>
                                <w:spacing w:after="120"/>
                                <w:jc w:val="both"/>
                              </w:pPr>
                              <w:r>
                                <w:rPr>
                                  <w:rFonts w:ascii="Calibri" w:hAnsi="Calibri"/>
                                  <w:color w:val="1F497D"/>
                                  <w:sz w:val="22"/>
                                  <w:szCs w:val="22"/>
                                </w:rPr>
                                <w:t> </w:t>
                              </w:r>
                            </w:p>
                            <w:p w:rsidR="003C38A6" w:rsidRDefault="003C38A6">
                              <w:pPr>
                                <w:jc w:val="right"/>
                              </w:pPr>
                            </w:p>
                          </w:tc>
                          <w:tc>
                            <w:tcPr>
                              <w:tcW w:w="600" w:type="dxa"/>
                              <w:vAlign w:val="center"/>
                              <w:hideMark/>
                            </w:tcPr>
                            <w:p w:rsidR="003C38A6" w:rsidRDefault="003C38A6">
                              <w:r>
                                <w:rPr>
                                  <w:rFonts w:ascii="Arial" w:hAnsi="Arial" w:cs="Arial"/>
                                  <w:sz w:val="26"/>
                                  <w:szCs w:val="26"/>
                                </w:rPr>
                                <w:lastRenderedPageBreak/>
                                <w:t> </w:t>
                              </w:r>
                            </w:p>
                          </w:tc>
                        </w:tr>
                      </w:tbl>
                      <w:p w:rsidR="003C38A6" w:rsidRDefault="003C38A6">
                        <w:pPr>
                          <w:rPr>
                            <w:rFonts w:eastAsia="Times New Roman"/>
                            <w:sz w:val="20"/>
                            <w:szCs w:val="20"/>
                          </w:rPr>
                        </w:pPr>
                      </w:p>
                    </w:tc>
                    <w:tc>
                      <w:tcPr>
                        <w:tcW w:w="6" w:type="dxa"/>
                        <w:vAlign w:val="center"/>
                        <w:hideMark/>
                      </w:tcPr>
                      <w:p w:rsidR="003C38A6" w:rsidRDefault="003C38A6">
                        <w:pPr>
                          <w:rPr>
                            <w:rFonts w:eastAsia="Times New Roman"/>
                            <w:sz w:val="20"/>
                            <w:szCs w:val="20"/>
                          </w:rPr>
                        </w:pPr>
                      </w:p>
                    </w:tc>
                  </w:tr>
                </w:tbl>
                <w:p w:rsidR="003C38A6" w:rsidRDefault="003C38A6">
                  <w:pPr>
                    <w:rPr>
                      <w:sz w:val="24"/>
                      <w:szCs w:val="24"/>
                    </w:rPr>
                  </w:pPr>
                  <w:r>
                    <w:rPr>
                      <w:rFonts w:ascii="Arial" w:hAnsi="Arial" w:cs="Arial"/>
                      <w:noProof/>
                      <w:sz w:val="26"/>
                      <w:szCs w:val="26"/>
                      <w:lang w:eastAsia="ru-RU"/>
                    </w:rPr>
                    <w:lastRenderedPageBreak/>
                    <w:drawing>
                      <wp:inline distT="0" distB="0" distL="0" distR="0">
                        <wp:extent cx="6667500" cy="762000"/>
                        <wp:effectExtent l="0" t="0" r="0" b="0"/>
                        <wp:docPr id="4" name="Рисунок 4" descr="cid:image004.gif@01CF1B7C.B25E1A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id:image004.gif@01CF1B7C.B25E1A8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667500" cy="762000"/>
                                </a:xfrm>
                                <a:prstGeom prst="rect">
                                  <a:avLst/>
                                </a:prstGeom>
                                <a:noFill/>
                                <a:ln>
                                  <a:noFill/>
                                </a:ln>
                              </pic:spPr>
                            </pic:pic>
                          </a:graphicData>
                        </a:graphic>
                      </wp:inline>
                    </w:drawing>
                  </w:r>
                </w:p>
              </w:tc>
            </w:tr>
            <w:tr w:rsidR="003C38A6">
              <w:trPr>
                <w:trHeight w:val="150"/>
                <w:tblCellSpacing w:w="0" w:type="dxa"/>
              </w:trPr>
              <w:tc>
                <w:tcPr>
                  <w:tcW w:w="0" w:type="auto"/>
                  <w:vAlign w:val="center"/>
                  <w:hideMark/>
                </w:tcPr>
                <w:p w:rsidR="003C38A6" w:rsidRDefault="003C38A6"/>
              </w:tc>
            </w:tr>
            <w:tr w:rsidR="003C38A6">
              <w:trPr>
                <w:tblCellSpacing w:w="0" w:type="dxa"/>
              </w:trPr>
              <w:tc>
                <w:tcPr>
                  <w:tcW w:w="0" w:type="auto"/>
                  <w:vAlign w:val="center"/>
                  <w:hideMark/>
                </w:tcPr>
                <w:p w:rsidR="003C38A6" w:rsidRDefault="003C38A6">
                  <w:pPr>
                    <w:rPr>
                      <w:rFonts w:eastAsia="Times New Roman"/>
                      <w:sz w:val="20"/>
                      <w:szCs w:val="20"/>
                    </w:rPr>
                  </w:pPr>
                </w:p>
              </w:tc>
            </w:tr>
            <w:tr w:rsidR="003C38A6">
              <w:trPr>
                <w:trHeight w:val="150"/>
                <w:tblCellSpacing w:w="0" w:type="dxa"/>
              </w:trPr>
              <w:tc>
                <w:tcPr>
                  <w:tcW w:w="0" w:type="auto"/>
                  <w:vAlign w:val="center"/>
                  <w:hideMark/>
                </w:tcPr>
                <w:p w:rsidR="003C38A6" w:rsidRDefault="003C38A6">
                  <w:pPr>
                    <w:rPr>
                      <w:rFonts w:eastAsia="Times New Roman"/>
                      <w:sz w:val="20"/>
                      <w:szCs w:val="20"/>
                    </w:rPr>
                  </w:pPr>
                </w:p>
              </w:tc>
            </w:tr>
          </w:tbl>
          <w:p w:rsidR="003C38A6" w:rsidRDefault="003C38A6">
            <w:pPr>
              <w:rPr>
                <w:rFonts w:eastAsia="Times New Roman"/>
                <w:sz w:val="20"/>
                <w:szCs w:val="20"/>
              </w:rPr>
            </w:pPr>
          </w:p>
        </w:tc>
        <w:tc>
          <w:tcPr>
            <w:tcW w:w="0" w:type="auto"/>
            <w:vAlign w:val="center"/>
            <w:hideMark/>
          </w:tcPr>
          <w:p w:rsidR="003C38A6" w:rsidRDefault="003C38A6">
            <w:pPr>
              <w:rPr>
                <w:rFonts w:eastAsia="Times New Roman"/>
                <w:sz w:val="20"/>
                <w:szCs w:val="20"/>
              </w:rPr>
            </w:pPr>
          </w:p>
        </w:tc>
      </w:tr>
    </w:tbl>
    <w:p w:rsidR="003C38A6" w:rsidRDefault="003C38A6" w:rsidP="003C38A6">
      <w:pPr>
        <w:spacing w:after="240"/>
      </w:pPr>
      <w:r>
        <w:rPr>
          <w:rFonts w:ascii="Arial" w:hAnsi="Arial" w:cs="Arial"/>
          <w:b/>
          <w:bCs/>
          <w:noProof/>
          <w:color w:val="808080"/>
          <w:sz w:val="18"/>
          <w:szCs w:val="18"/>
          <w:lang w:eastAsia="ru-RU"/>
        </w:rPr>
        <w:lastRenderedPageBreak/>
        <w:drawing>
          <wp:inline distT="0" distB="0" distL="0" distR="0">
            <wp:extent cx="2381250" cy="523875"/>
            <wp:effectExtent l="0" t="0" r="0" b="9525"/>
            <wp:docPr id="3" name="Рисунок 3" descr="Описание: cid:image002.gif@01CED644.6CFD68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cid:image002.gif@01CED644.6CFD68B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a:ln>
                      <a:noFill/>
                    </a:ln>
                  </pic:spPr>
                </pic:pic>
              </a:graphicData>
            </a:graphic>
          </wp:inline>
        </w:drawing>
      </w:r>
    </w:p>
    <w:p w:rsidR="003C38A6" w:rsidRDefault="003C38A6" w:rsidP="003C38A6">
      <w:r>
        <w:rPr>
          <w:rFonts w:ascii="Calibri" w:hAnsi="Calibri"/>
          <w:color w:val="1F497D"/>
        </w:rPr>
        <w:t> </w:t>
      </w:r>
    </w:p>
    <w:p w:rsidR="003C38A6" w:rsidRDefault="003C38A6" w:rsidP="003C38A6">
      <w:pPr>
        <w:rPr>
          <w:rFonts w:eastAsia="Times New Roman"/>
        </w:rPr>
      </w:pPr>
      <w:r>
        <w:rPr>
          <w:rFonts w:ascii="Calibri" w:eastAsia="Times New Roman" w:hAnsi="Calibri"/>
          <w:color w:val="808080"/>
          <w:sz w:val="15"/>
          <w:szCs w:val="15"/>
        </w:rPr>
        <w:t>Отправитель не отвечает за точность и полноту передачи информации, содержащейся в данном электронном сообщении, а также за своевременность ее получения. Информация, содержащаяся в настоящем письме, не является исчерпывающей. Информация не является какого-либо рода офертой, не подразумевалась в качестве оферты или приглашения делать оферты, не является прогнозом событий, инвестиционным анализом или профессиональным советом, не имеет целью рекламу, размещение или публичное предложение любых ценных бумаг, продуктов или услуг, если иное прямо не предусмотрено в настоящем сообщении или любых приложениях к нему. Данное письмо/сообщение не содержит описания всех рисков, присущих инвестированию на рынке ценных бумаг. Результаты инвестирования в прошлом не определяют доходы в будущем. Информация, приведенная в сообщении, является индикативной и предназначена для профессиональных инвесторов. Информация не предназначена для использования третьими лицами.</w:t>
      </w:r>
      <w:r>
        <w:rPr>
          <w:rFonts w:eastAsia="Times New Roman"/>
        </w:rPr>
        <w:t xml:space="preserve"> </w:t>
      </w:r>
    </w:p>
    <w:p w:rsidR="00E85496" w:rsidRPr="00930623" w:rsidRDefault="006A3465" w:rsidP="006A3465">
      <w:pPr>
        <w:spacing w:before="240" w:line="276" w:lineRule="auto"/>
        <w:jc w:val="both"/>
        <w:rPr>
          <w:rFonts w:ascii="Arial" w:hAnsi="Arial" w:cs="Arial"/>
          <w:sz w:val="23"/>
          <w:szCs w:val="23"/>
        </w:rPr>
      </w:pPr>
      <w:r>
        <w:rPr>
          <w:rFonts w:ascii="Arial" w:hAnsi="Arial" w:cs="Arial"/>
          <w:sz w:val="23"/>
          <w:szCs w:val="23"/>
        </w:rPr>
        <w:t xml:space="preserve"> </w:t>
      </w:r>
    </w:p>
    <w:sectPr w:rsidR="00E85496" w:rsidRPr="00930623" w:rsidSect="003C38A6">
      <w:footerReference w:type="default" r:id="rId18"/>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56BE" w:rsidRDefault="009856BE" w:rsidP="00EF2DCA">
      <w:pPr>
        <w:spacing w:after="0" w:line="240" w:lineRule="auto"/>
      </w:pPr>
      <w:r>
        <w:separator/>
      </w:r>
    </w:p>
  </w:endnote>
  <w:endnote w:type="continuationSeparator" w:id="0">
    <w:p w:rsidR="009856BE" w:rsidRDefault="009856BE" w:rsidP="00EF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863091"/>
      <w:docPartObj>
        <w:docPartGallery w:val="Page Numbers (Bottom of Page)"/>
        <w:docPartUnique/>
      </w:docPartObj>
    </w:sdtPr>
    <w:sdtContent>
      <w:p w:rsidR="003C38A6" w:rsidRDefault="003C38A6">
        <w:pPr>
          <w:pStyle w:val="a5"/>
          <w:jc w:val="right"/>
        </w:pPr>
        <w:r>
          <w:fldChar w:fldCharType="begin"/>
        </w:r>
        <w:r>
          <w:instrText>PAGE   \* MERGEFORMAT</w:instrText>
        </w:r>
        <w:r>
          <w:fldChar w:fldCharType="separate"/>
        </w:r>
        <w:r>
          <w:rPr>
            <w:noProof/>
          </w:rPr>
          <w:t>1</w:t>
        </w:r>
        <w:r>
          <w:fldChar w:fldCharType="end"/>
        </w:r>
      </w:p>
    </w:sdtContent>
  </w:sdt>
  <w:p w:rsidR="003C38A6" w:rsidRDefault="003C38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56BE" w:rsidRDefault="009856BE" w:rsidP="00EF2DCA">
      <w:pPr>
        <w:spacing w:after="0" w:line="240" w:lineRule="auto"/>
      </w:pPr>
      <w:r>
        <w:separator/>
      </w:r>
    </w:p>
  </w:footnote>
  <w:footnote w:type="continuationSeparator" w:id="0">
    <w:p w:rsidR="009856BE" w:rsidRDefault="009856BE" w:rsidP="00EF2D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EA"/>
    <w:rsid w:val="00032B3F"/>
    <w:rsid w:val="000D0F4A"/>
    <w:rsid w:val="000E2167"/>
    <w:rsid w:val="0015332A"/>
    <w:rsid w:val="0019498D"/>
    <w:rsid w:val="001C7DE2"/>
    <w:rsid w:val="003737FA"/>
    <w:rsid w:val="003C38A6"/>
    <w:rsid w:val="003C56FA"/>
    <w:rsid w:val="004A676A"/>
    <w:rsid w:val="004E42EF"/>
    <w:rsid w:val="004F7632"/>
    <w:rsid w:val="006530A8"/>
    <w:rsid w:val="006A3465"/>
    <w:rsid w:val="006C33E4"/>
    <w:rsid w:val="007A32A7"/>
    <w:rsid w:val="007B5126"/>
    <w:rsid w:val="007C020D"/>
    <w:rsid w:val="007F55E6"/>
    <w:rsid w:val="00930623"/>
    <w:rsid w:val="00982E92"/>
    <w:rsid w:val="009856BE"/>
    <w:rsid w:val="00AD7685"/>
    <w:rsid w:val="00B31DB5"/>
    <w:rsid w:val="00D047FD"/>
    <w:rsid w:val="00D05F5F"/>
    <w:rsid w:val="00D13308"/>
    <w:rsid w:val="00DA68EA"/>
    <w:rsid w:val="00E1044E"/>
    <w:rsid w:val="00E12C62"/>
    <w:rsid w:val="00E85496"/>
    <w:rsid w:val="00E925E1"/>
    <w:rsid w:val="00EF2DCA"/>
    <w:rsid w:val="00EF6BBA"/>
    <w:rsid w:val="00FB77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84F8F-2ECC-4851-AD30-ED62079D7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2D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F2DCA"/>
  </w:style>
  <w:style w:type="paragraph" w:styleId="a5">
    <w:name w:val="footer"/>
    <w:basedOn w:val="a"/>
    <w:link w:val="a6"/>
    <w:uiPriority w:val="99"/>
    <w:unhideWhenUsed/>
    <w:rsid w:val="00EF2DC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F2DCA"/>
  </w:style>
  <w:style w:type="paragraph" w:styleId="a7">
    <w:name w:val="Plain Text"/>
    <w:basedOn w:val="a"/>
    <w:link w:val="a8"/>
    <w:uiPriority w:val="99"/>
    <w:semiHidden/>
    <w:unhideWhenUsed/>
    <w:rsid w:val="00EF2DCA"/>
    <w:pPr>
      <w:spacing w:after="0" w:line="240" w:lineRule="auto"/>
    </w:pPr>
    <w:rPr>
      <w:rFonts w:ascii="Calibri" w:hAnsi="Calibri"/>
      <w:szCs w:val="21"/>
    </w:rPr>
  </w:style>
  <w:style w:type="character" w:customStyle="1" w:styleId="a8">
    <w:name w:val="Текст Знак"/>
    <w:basedOn w:val="a0"/>
    <w:link w:val="a7"/>
    <w:uiPriority w:val="99"/>
    <w:semiHidden/>
    <w:rsid w:val="00EF2DCA"/>
    <w:rPr>
      <w:rFonts w:ascii="Calibri" w:hAnsi="Calibri"/>
      <w:szCs w:val="21"/>
    </w:rPr>
  </w:style>
  <w:style w:type="character" w:styleId="a9">
    <w:name w:val="Hyperlink"/>
    <w:basedOn w:val="a0"/>
    <w:uiPriority w:val="99"/>
    <w:unhideWhenUsed/>
    <w:rsid w:val="00EF6BBA"/>
    <w:rPr>
      <w:color w:val="5F5F5F" w:themeColor="hyperlink"/>
      <w:u w:val="single"/>
    </w:rPr>
  </w:style>
  <w:style w:type="paragraph" w:customStyle="1" w:styleId="a30">
    <w:name w:val="a3"/>
    <w:basedOn w:val="a"/>
    <w:rsid w:val="003C38A6"/>
    <w:pPr>
      <w:spacing w:before="80" w:after="0" w:line="240" w:lineRule="auto"/>
      <w:jc w:val="both"/>
    </w:pPr>
    <w:rPr>
      <w:rFonts w:ascii="Arial Narrow" w:hAnsi="Arial Narrow" w:cs="Times New Roman"/>
      <w:sz w:val="16"/>
      <w:szCs w:val="16"/>
      <w:lang w:eastAsia="ru-RU"/>
    </w:rPr>
  </w:style>
  <w:style w:type="paragraph" w:customStyle="1" w:styleId="a50">
    <w:name w:val="a5"/>
    <w:basedOn w:val="a"/>
    <w:rsid w:val="003C38A6"/>
    <w:pPr>
      <w:spacing w:after="0" w:line="240" w:lineRule="auto"/>
    </w:pPr>
    <w:rPr>
      <w:rFonts w:ascii="Arial" w:hAnsi="Arial" w:cs="Arial"/>
      <w:b/>
      <w:bCs/>
      <w:color w:val="FF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653678">
      <w:bodyDiv w:val="1"/>
      <w:marLeft w:val="0"/>
      <w:marRight w:val="0"/>
      <w:marTop w:val="0"/>
      <w:marBottom w:val="0"/>
      <w:divBdr>
        <w:top w:val="none" w:sz="0" w:space="0" w:color="auto"/>
        <w:left w:val="none" w:sz="0" w:space="0" w:color="auto"/>
        <w:bottom w:val="none" w:sz="0" w:space="0" w:color="auto"/>
        <w:right w:val="none" w:sz="0" w:space="0" w:color="auto"/>
      </w:divBdr>
    </w:div>
    <w:div w:id="201465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4.jpg@01D06014.A281EAA0" TargetMode="External"/><Relationship Id="rId1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1.jpg@01D06014.A281EAA0" TargetMode="External"/><Relationship Id="rId12" Type="http://schemas.openxmlformats.org/officeDocument/2006/relationships/image" Target="media/image4.jpeg"/><Relationship Id="rId17" Type="http://schemas.openxmlformats.org/officeDocument/2006/relationships/image" Target="cid:image006.gif@01D06014.A281EAA0" TargetMode="External"/><Relationship Id="rId2" Type="http://schemas.openxmlformats.org/officeDocument/2006/relationships/settings" Target="settings.xml"/><Relationship Id="rId16" Type="http://schemas.openxmlformats.org/officeDocument/2006/relationships/image" Target="media/image6.gif"/><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3.jpg@01D06014.A281EAA0" TargetMode="External"/><Relationship Id="rId5" Type="http://schemas.openxmlformats.org/officeDocument/2006/relationships/endnotes" Target="endnotes.xml"/><Relationship Id="rId15" Type="http://schemas.openxmlformats.org/officeDocument/2006/relationships/image" Target="cid:image005.gif@01D06014.A281EAA0"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cid:image002.jpg@01D06014.A281EAA0" TargetMode="External"/><Relationship Id="rId14" Type="http://schemas.openxmlformats.org/officeDocument/2006/relationships/image" Target="media/image5.gif"/></Relationships>
</file>

<file path=word/theme/_rels/theme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theme/theme1.xml><?xml version="1.0" encoding="utf-8"?>
<a:theme xmlns:a="http://schemas.openxmlformats.org/drawingml/2006/main" name="Натуральные материалы">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Натуральные материалы">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Натуральные материалы">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1054</Words>
  <Characters>6010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ЗАО Финам</Company>
  <LinksUpToDate>false</LinksUpToDate>
  <CharactersWithSpaces>7050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akolesnikova</dc:creator>
  <cp:keywords/>
  <dc:description/>
  <cp:lastModifiedBy>akolesnikova</cp:lastModifiedBy>
  <cp:revision>2</cp:revision>
  <dcterms:created xsi:type="dcterms:W3CDTF">2015-03-16T15:16:00Z</dcterms:created>
  <dcterms:modified xsi:type="dcterms:W3CDTF">2015-03-16T15:16:00Z</dcterms:modified>
</cp:coreProperties>
</file>