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tbl>
      <w:tblPr>
        <w:tblW w:w="10542" w:type="dxa"/>
        <w:tblCellSpacing w:w="0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530"/>
        <w:gridCol w:w="6"/>
      </w:tblGrid>
      <w:tr w:rsidR="005E6DC2" w:rsidTr="005E6DC2">
        <w:trPr>
          <w:tblCellSpacing w:w="0" w:type="dxa"/>
        </w:trPr>
        <w:tc>
          <w:tcPr>
            <w:tcW w:w="0" w:type="auto"/>
            <w:vAlign w:val="center"/>
            <w:hideMark/>
          </w:tcPr>
          <w:p w:rsidR="005E6DC2" w:rsidRDefault="005E6DC2"/>
        </w:tc>
        <w:tc>
          <w:tcPr>
            <w:tcW w:w="0" w:type="auto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30"/>
            </w:tblGrid>
            <w:tr w:rsidR="005E6D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E6DC2" w:rsidRDefault="005E6DC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color w:val="1F497D"/>
                      <w:sz w:val="26"/>
                      <w:szCs w:val="26"/>
                      <w:lang w:eastAsia="ru-RU"/>
                    </w:rPr>
                    <w:drawing>
                      <wp:inline distT="0" distB="0" distL="0" distR="0">
                        <wp:extent cx="6677025" cy="2447925"/>
                        <wp:effectExtent l="0" t="0" r="9525" b="9525"/>
                        <wp:docPr id="5" name="Рисунок 5" descr="cid:image001.jpg@01CE7F0D.5D5225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id:image001.jpg@01CE7F0D.5D5225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77025" cy="2447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6DC2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9"/>
                    <w:gridCol w:w="10115"/>
                    <w:gridCol w:w="6"/>
                  </w:tblGrid>
                  <w:tr w:rsidR="005E6DC2">
                    <w:trPr>
                      <w:trHeight w:val="150"/>
                      <w:tblCellSpacing w:w="0" w:type="dxa"/>
                    </w:trPr>
                    <w:tc>
                      <w:tcPr>
                        <w:tcW w:w="408" w:type="dxa"/>
                        <w:shd w:val="clear" w:color="auto" w:fill="FFFFFF"/>
                        <w:vAlign w:val="center"/>
                        <w:hideMark/>
                      </w:tcPr>
                      <w:p w:rsidR="005E6DC2" w:rsidRDefault="005E6DC2"/>
                    </w:tc>
                    <w:tc>
                      <w:tcPr>
                        <w:tcW w:w="10101" w:type="dxa"/>
                        <w:shd w:val="clear" w:color="auto" w:fill="FFFFFF"/>
                        <w:vAlign w:val="center"/>
                        <w:hideMark/>
                      </w:tcPr>
                      <w:p w:rsidR="005E6DC2" w:rsidRDefault="005E6DC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FFFFFF"/>
                        <w:vAlign w:val="center"/>
                        <w:hideMark/>
                      </w:tcPr>
                      <w:p w:rsidR="005E6DC2" w:rsidRDefault="005E6DC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E6DC2">
                    <w:trPr>
                      <w:trHeight w:val="420"/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5E6DC2" w:rsidRDefault="005E6DC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5E6DC2" w:rsidRDefault="005E6DC2"/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5E6DC2" w:rsidRDefault="005E6DC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E6DC2">
                    <w:trPr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5E6DC2" w:rsidRDefault="005E6DC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15"/>
                          <w:gridCol w:w="600"/>
                        </w:tblGrid>
                        <w:tr w:rsidR="005E6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E6DC2" w:rsidRDefault="005E6DC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акций</w:t>
                              </w:r>
                            </w:p>
                            <w:p w:rsidR="005E6DC2" w:rsidRDefault="005E6DC2"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5E6DC2" w:rsidRDefault="005E6DC2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0" t="0" r="9525" b="9525"/>
                                    <wp:docPr id="4" name="Рисунок 4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6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r:link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E6DC2" w:rsidRDefault="005E6DC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5E6DC2" w:rsidRDefault="005E6DC2">
                              <w:pPr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</w:rPr>
                                <w:t> </w:t>
                              </w:r>
                            </w:p>
                            <w:p w:rsidR="005E6DC2" w:rsidRDefault="005E6DC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Российский рынок «выстрелил вверх» на новостях о заключении перемирия на востоке Украины. Тем не менее инвесторы переоценили ожидания от подписанных договоренностей: понедельник начался с новостей в СМИ о продолжении огня под Дебальцево, что спровоцировало коррекцию на российском рынке. Новостные заголовки продолжат определять направление рынка, оставляя на втором плане и макроэкономику,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br/>
                                <w:t>и корпоративные новости.</w:t>
                              </w:r>
                            </w:p>
                            <w:p w:rsidR="005E6DC2" w:rsidRDefault="005E6DC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В то же время котировки черного золота вновь находятся выше 60 долл. за баррель (марки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Brent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), и это приводит к укреплению рубля. У рынка нет четкого представления о том, как будет себя вести цена на нефть в краткосрочной перспективе, но на более длинном горизонте рынок склоняется к тому, что цена на нефть будет расти. Соответственно, мы можем увидеть и более сильное укрепление рубля. Зарабатывать на этом тренде мы планируем через экспозицию на российские акции: в частности, сейчас мы видим повышенный спрос на нефтегазовые бумаги, а также мы присматриваемся к определенным качественным ценным бумагам, ориентированным на внутренний спрос. </w:t>
                              </w:r>
                            </w:p>
                            <w:p w:rsidR="005E6DC2" w:rsidRDefault="005E6DC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В наших фондах мы сохраняем большую долю российских ценных бумаг, ожидая продолжения «ралли» на фоне деэскалации. Но стопроцентной уверенности в том, что мы не увидим краткосрочную коррекцию на российском рынке, у нас нет, вследствие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lastRenderedPageBreak/>
                                <w:t xml:space="preserve">чего мы оставляем «подушку безопасности» ввиду доли акций крупных иностранных компаний. </w:t>
                              </w:r>
                            </w:p>
                            <w:p w:rsidR="005E6DC2" w:rsidRDefault="005E6DC2">
                              <w:pPr>
                                <w:pStyle w:val="a50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 w:rsidR="005E6DC2" w:rsidRDefault="005E6DC2">
                              <w:r>
                                <w:rPr>
                                  <w:color w:val="1F497D"/>
                                </w:rPr>
                                <w:t> </w:t>
                              </w:r>
                            </w:p>
                            <w:p w:rsidR="005E6DC2" w:rsidRDefault="005E6DC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облигаций</w:t>
                              </w:r>
                            </w:p>
                            <w:p w:rsidR="005E6DC2" w:rsidRDefault="005E6DC2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0" t="0" r="9525" b="9525"/>
                                    <wp:docPr id="3" name="Рисунок 3" descr="cid:image004.jpg@01CE7BFE.B94C54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 descr="cid:image004.jpg@01CE7BFE.B94C54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E6DC2" w:rsidRDefault="005E6DC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Алексей Губин,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аналитик УК «Альфа-Капитал»</w:t>
                              </w:r>
                            </w:p>
                            <w:p w:rsidR="005E6DC2" w:rsidRDefault="005E6DC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Прошлая неделя на рынке долговых ценных бумаг прошла под знаком встречи лидеров «нормандской группы» в Минске. Утренние заголовки 12 февраля привели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br/>
                                <w:t xml:space="preserve">к мощному росту цен практически на все российские валютные облигации. Так,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Россия-30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взлетела со 104 до 108% от номинала, уровня, на котором не торговалась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br/>
                                <w:t xml:space="preserve">с начала декабря 2014 года. Большая часть корпоративных инструментов показала сравнимую динамику на фоне массового закрытия коротких позиций. В среднем за неделю цены на евробонды прибавили порядка 3%. На рынке рублевых облигаций мы также видели рост, однако он был более скромным. Так, выпуск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ОФЗ 26207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прибавил порядка 2%, 5-летние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ОФЗ 26208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– примерно 1,5%, но здесь все упирается во все еще достаточно высокую (15%) ключевую ставку, снижение которой напрямую зависит от динамики инфляции в РФ, которая с начала года уже составила почти 5%.</w:t>
                              </w:r>
                            </w:p>
                            <w:p w:rsidR="005E6DC2" w:rsidRDefault="005E6DC2">
                              <w:pPr>
                                <w:pStyle w:val="a30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Основной вопрос сейчас – это устойчивость показанного в четверг-пятницу роста. Конечно, после столь мощного выноса цен вверх мы должны увидеть некую консолидацию, так как желание забрать прибыль может привести к стабилизации котировок на текущих уровнях. Сильная коррекция при этом маловероятна. При этом дальнейший рост цен, возвращение доходностей к «нормальным» уровням, сопоставимым со ставками на других развивающихся рынках, напрямую будет зависеть от возвращения на рынок большого количества иностранных инвесторов, которые сейчас имеют серьезный недовес по российским активам. Но их возвращение – это функция нормализации отношений между Россией и Западом, что не может быть достигнуто одним днем. Поэтому, по всей видимости, мы продолжим торговаться «по заголовкам», особое внимание будет приковано к соблюдению перемирия на Украине.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Фундаментально российский долговой рынок все еще очень дешев, но вот будут ли на этот рынок приходить потоки, способные исправить эту дешевизну, – вопрос времени, причем не ближайших дней, а скорее месяцев.</w:t>
                              </w:r>
                            </w:p>
                            <w:p w:rsidR="005E6DC2" w:rsidRDefault="005E6DC2">
                              <w:pPr>
                                <w:pStyle w:val="a30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5E6DC2" w:rsidRDefault="005E6DC2">
                              <w:pPr>
                                <w:pStyle w:val="a30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5E6DC2" w:rsidRDefault="005E6DC2">
                              <w:pPr>
                                <w:pStyle w:val="a30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5E6DC2" w:rsidRDefault="005E6DC2">
                              <w:pPr>
                                <w:pStyle w:val="a30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5E6DC2" w:rsidRDefault="005E6DC2">
                              <w:pPr>
                                <w:pStyle w:val="a30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5E6DC2" w:rsidRDefault="005E6DC2">
                              <w:pPr>
                                <w:pStyle w:val="a30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5E6DC2" w:rsidRDefault="005E6DC2">
                              <w:pPr>
                                <w:pStyle w:val="a30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5E6DC2" w:rsidRDefault="005E6DC2">
                              <w:pPr>
                                <w:pStyle w:val="a30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5E6DC2" w:rsidRDefault="005E6DC2">
                              <w:pPr>
                                <w:pStyle w:val="a30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5E6DC2" w:rsidRDefault="005E6DC2">
                              <w:pPr>
                                <w:pStyle w:val="a30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5E6DC2" w:rsidRDefault="005E6DC2">
                              <w:pPr>
                                <w:pStyle w:val="a30"/>
                              </w:pPr>
                              <w:bookmarkStart w:id="0" w:name="_GoBack"/>
                              <w:bookmarkEnd w:id="0"/>
                              <w:r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  <w:lastRenderedPageBreak/>
                                <w:t> </w:t>
                              </w:r>
                            </w:p>
                            <w:p w:rsidR="005E6DC2" w:rsidRDefault="005E6DC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5E6DC2" w:rsidRDefault="005E6DC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сырьевых товаров</w:t>
                              </w:r>
                            </w:p>
                            <w:p w:rsidR="005E6DC2" w:rsidRDefault="005E6DC2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23950" cy="1123950"/>
                                    <wp:effectExtent l="0" t="0" r="0" b="0"/>
                                    <wp:docPr id="2" name="Рисунок 2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4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r:link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3950" cy="1123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E6DC2" w:rsidRDefault="005E6DC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5E6DC2" w:rsidRDefault="005E6DC2"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1F497D"/>
                                </w:rPr>
                                <w:t> </w:t>
                              </w:r>
                            </w:p>
                            <w:p w:rsidR="005E6DC2" w:rsidRDefault="005E6DC2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5E6DC2" w:rsidRDefault="005E6DC2">
                              <w:pPr>
                                <w:pStyle w:val="a30"/>
                                <w:spacing w:after="12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Нефть марки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Brent</w:t>
                              </w:r>
                              <w:r w:rsidRPr="005E6DC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за прошедшую неделю выросла на 6,4%, максимальная отметка была 62,3 долл. за баррель, что, безусловно, еще один сигнал стабилизации рынка (если не разворота). Но при этом настораживает то, что спред между ценами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WTI</w:t>
                              </w:r>
                              <w:r w:rsidRPr="005E6DC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и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Brent</w:t>
                              </w:r>
                              <w:r w:rsidRPr="005E6DC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вырос почти до 10 долл. за баррель. Основной причиной такого расхождения является продолжающийся рост запасов нефти в США, несмотря на текущее снижение буровой активности и свертывание инвестиционных программ. С нефтью марки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Brent</w:t>
                              </w:r>
                              <w:r w:rsidRPr="005E6DC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ситуация иная, возникают проблемы с поставками нефти из Ирака, что в совокупности с коррекцией в долларе и позволило цене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Brent</w:t>
                              </w:r>
                              <w:r w:rsidRPr="005E6DC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расти. И в текущей ситуации этот рост пока нельзя назвать устойчивыми (избыток нефти в США как основной фактор снижения нефтяных цен остается в силе).</w:t>
                              </w:r>
                            </w:p>
                            <w:p w:rsidR="005E6DC2" w:rsidRDefault="005E6DC2">
                              <w:pPr>
                                <w:pStyle w:val="a50"/>
                                <w:spacing w:after="120"/>
                                <w:jc w:val="both"/>
                              </w:pP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 xml:space="preserve">По рынку золота опубликованы данные по итогам 2014 года. Спрос на золото в 2014 году был на 4% ниже, чем в 2013-м. Рост спроса был отмечен со стороны центральных банков (особенно отметился ЦБ РФ), и замедлился отток средств из физических </w:t>
                              </w: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ETF</w:t>
                              </w:r>
                              <w:r w:rsidRPr="005E6DC2"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 xml:space="preserve">золота. Кроме того, в потребительской части спроса на золото стоит отметить существенное снижение спроса в Китае, почти на 40%. Судя по всему, ФРС США не станет повышать ставки в ближайший год, что будет поддерживать цены на драгоценные металлы. </w:t>
                              </w:r>
                            </w:p>
                            <w:p w:rsidR="005E6DC2" w:rsidRDefault="005E6DC2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5E6DC2" w:rsidRDefault="005E6DC2" w:rsidP="005E6DC2">
                              <w:pPr>
                                <w:pStyle w:val="a50"/>
                                <w:spacing w:after="120"/>
                                <w:jc w:val="both"/>
                              </w:pPr>
                              <w:r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5E6DC2" w:rsidRDefault="005E6DC2"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5E6DC2" w:rsidRDefault="005E6DC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5E6DC2" w:rsidRDefault="005E6DC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E6DC2" w:rsidRDefault="005E6DC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  <w:lang w:eastAsia="ru-RU"/>
                    </w:rPr>
                    <w:lastRenderedPageBreak/>
                    <w:drawing>
                      <wp:inline distT="0" distB="0" distL="0" distR="0">
                        <wp:extent cx="6667500" cy="762000"/>
                        <wp:effectExtent l="0" t="0" r="0" b="0"/>
                        <wp:docPr id="1" name="Рисунок 1" descr="cid:image004.gif@01CF1B7C.B25E1A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cid:image004.gif@01CF1B7C.B25E1A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6DC2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E6DC2" w:rsidRDefault="005E6DC2"/>
              </w:tc>
            </w:tr>
            <w:tr w:rsidR="005E6D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E6DC2" w:rsidRDefault="005E6DC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E6DC2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E6DC2" w:rsidRDefault="005E6DC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E6DC2" w:rsidRDefault="005E6D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DC2" w:rsidRDefault="005E6DC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05F5F" w:rsidRPr="00DA68EA" w:rsidRDefault="00D05F5F" w:rsidP="004E42EF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sectPr w:rsidR="00D05F5F" w:rsidRPr="00DA6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1C2" w:rsidRDefault="001901C2" w:rsidP="00EF2DCA">
      <w:pPr>
        <w:spacing w:after="0" w:line="240" w:lineRule="auto"/>
      </w:pPr>
      <w:r>
        <w:separator/>
      </w:r>
    </w:p>
  </w:endnote>
  <w:endnote w:type="continuationSeparator" w:id="0">
    <w:p w:rsidR="001901C2" w:rsidRDefault="001901C2" w:rsidP="00EF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1C2" w:rsidRDefault="001901C2" w:rsidP="00EF2DCA">
      <w:pPr>
        <w:spacing w:after="0" w:line="240" w:lineRule="auto"/>
      </w:pPr>
      <w:r>
        <w:separator/>
      </w:r>
    </w:p>
  </w:footnote>
  <w:footnote w:type="continuationSeparator" w:id="0">
    <w:p w:rsidR="001901C2" w:rsidRDefault="001901C2" w:rsidP="00EF2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EA"/>
    <w:rsid w:val="0015332A"/>
    <w:rsid w:val="001901C2"/>
    <w:rsid w:val="001C7DE2"/>
    <w:rsid w:val="003737FA"/>
    <w:rsid w:val="003C56FA"/>
    <w:rsid w:val="004E42EF"/>
    <w:rsid w:val="005E6DC2"/>
    <w:rsid w:val="007C020D"/>
    <w:rsid w:val="007F55E6"/>
    <w:rsid w:val="00D05F5F"/>
    <w:rsid w:val="00DA68EA"/>
    <w:rsid w:val="00E1044E"/>
    <w:rsid w:val="00E12C62"/>
    <w:rsid w:val="00EF2DCA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84F8F-2ECC-4851-AD30-ED62079D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DCA"/>
  </w:style>
  <w:style w:type="paragraph" w:styleId="a5">
    <w:name w:val="footer"/>
    <w:basedOn w:val="a"/>
    <w:link w:val="a6"/>
    <w:uiPriority w:val="99"/>
    <w:unhideWhenUsed/>
    <w:rsid w:val="00EF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DCA"/>
  </w:style>
  <w:style w:type="paragraph" w:styleId="a7">
    <w:name w:val="Plain Text"/>
    <w:basedOn w:val="a"/>
    <w:link w:val="a8"/>
    <w:uiPriority w:val="99"/>
    <w:semiHidden/>
    <w:unhideWhenUsed/>
    <w:rsid w:val="00EF2DCA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EF2DCA"/>
    <w:rPr>
      <w:rFonts w:ascii="Calibri" w:hAnsi="Calibri"/>
      <w:szCs w:val="21"/>
    </w:rPr>
  </w:style>
  <w:style w:type="character" w:styleId="a9">
    <w:name w:val="Hyperlink"/>
    <w:basedOn w:val="a0"/>
    <w:uiPriority w:val="99"/>
    <w:semiHidden/>
    <w:unhideWhenUsed/>
    <w:rsid w:val="005E6DC2"/>
    <w:rPr>
      <w:color w:val="0000FF"/>
      <w:u w:val="single"/>
    </w:rPr>
  </w:style>
  <w:style w:type="paragraph" w:customStyle="1" w:styleId="a30">
    <w:name w:val="a3"/>
    <w:basedOn w:val="a"/>
    <w:rsid w:val="005E6DC2"/>
    <w:pPr>
      <w:spacing w:before="80" w:after="0" w:line="240" w:lineRule="auto"/>
      <w:jc w:val="both"/>
    </w:pPr>
    <w:rPr>
      <w:rFonts w:ascii="Arial Narrow" w:hAnsi="Arial Narrow" w:cs="Times New Roman"/>
      <w:sz w:val="16"/>
      <w:szCs w:val="16"/>
      <w:lang w:eastAsia="ru-RU"/>
    </w:rPr>
  </w:style>
  <w:style w:type="paragraph" w:customStyle="1" w:styleId="a50">
    <w:name w:val="a5"/>
    <w:basedOn w:val="a"/>
    <w:rsid w:val="005E6DC2"/>
    <w:pPr>
      <w:spacing w:after="0" w:line="240" w:lineRule="auto"/>
    </w:pPr>
    <w:rPr>
      <w:rFonts w:ascii="Arial" w:hAnsi="Arial" w:cs="Arial"/>
      <w:b/>
      <w:bCs/>
      <w:color w:val="FF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4.jpg@01D049FE.BFAA152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049FE.BFAA1520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3.jpg@01D049FE.BFAA1520" TargetMode="External"/><Relationship Id="rId5" Type="http://schemas.openxmlformats.org/officeDocument/2006/relationships/endnotes" Target="endnotes.xml"/><Relationship Id="rId15" Type="http://schemas.openxmlformats.org/officeDocument/2006/relationships/image" Target="cid:image005.gif@01D049FE.BFAA1520" TargetMode="Externa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cid:image002.jpg@01D049FE.BFAA1520" TargetMode="External"/><Relationship Id="rId14" Type="http://schemas.openxmlformats.org/officeDocument/2006/relationships/image" Target="media/image5.gi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Натуральные материалы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Натуральные материалы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Натуральные материалы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Финам</Company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akolesnikova</dc:creator>
  <cp:keywords/>
  <dc:description/>
  <cp:lastModifiedBy>akolesnikova</cp:lastModifiedBy>
  <cp:revision>2</cp:revision>
  <dcterms:created xsi:type="dcterms:W3CDTF">2015-02-16T12:56:00Z</dcterms:created>
  <dcterms:modified xsi:type="dcterms:W3CDTF">2015-02-16T12:56:00Z</dcterms:modified>
</cp:coreProperties>
</file>