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1B" w:rsidRDefault="00BA5F1B" w:rsidP="00BA5F1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Тенденции. Рынок будет жить ожиданиями и гаданиями на кофейной гуще</w:t>
      </w:r>
    </w:p>
    <w:p w:rsidR="00BA5F1B" w:rsidRDefault="00BA5F1B" w:rsidP="00BA5F1B">
      <w:pPr>
        <w:rPr>
          <w:b/>
          <w:bCs/>
          <w:sz w:val="20"/>
          <w:szCs w:val="20"/>
        </w:rPr>
      </w:pPr>
    </w:p>
    <w:p w:rsidR="00BA5F1B" w:rsidRDefault="00BA5F1B" w:rsidP="00BA5F1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Прошедшая неделя на рынке продолжила развитие умеренного, пугливого оптимизма, замеченного еще в самом конце прошлого года. Основы для оптимизма заложил прошедший в декабре </w:t>
      </w:r>
      <w:proofErr w:type="spellStart"/>
      <w:r>
        <w:rPr>
          <w:sz w:val="20"/>
          <w:szCs w:val="20"/>
        </w:rPr>
        <w:t>беспрецендентный</w:t>
      </w:r>
      <w:proofErr w:type="spellEnd"/>
      <w:r>
        <w:rPr>
          <w:sz w:val="20"/>
          <w:szCs w:val="20"/>
        </w:rPr>
        <w:t xml:space="preserve"> аукцион по предоставлению ликвидности банкам со стороны ЕЦБ. Настроения быков усиливались подрастанием цен на нефть. Ожидаемое введение эмбарго по поставкам нефти из Ирана в страны Евросоюза стало причиной роста цен на черное золото в самом начале года. Однако по мере приближения намеченной на 23 января дате принятия Евросоюзом окончательного решения о введении эмбарго, все более ставится под сомнение его реализуемость. Тем более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что Иран грозит в ответ на эмбарго перекрыть Ормузский пролив. Добытая агентством </w:t>
      </w:r>
      <w:proofErr w:type="spellStart"/>
      <w:r>
        <w:rPr>
          <w:sz w:val="20"/>
          <w:szCs w:val="20"/>
        </w:rPr>
        <w:t>Блумберг</w:t>
      </w:r>
      <w:proofErr w:type="spellEnd"/>
      <w:r>
        <w:rPr>
          <w:sz w:val="20"/>
          <w:szCs w:val="20"/>
        </w:rPr>
        <w:t xml:space="preserve"> информация о том, что из-за позиции основных потребителей  иранской нефти в Европе (Греции, Италии и Испании) эмбарго не будет принято, остудило бычий напор на рынке нефти. Как следствие к завершению недели стал улетучиваться оптимизм и на нашем фондовом рынке. Индекс ММВБ почтительно замер на подступах к 1480 пунктам. </w:t>
      </w:r>
    </w:p>
    <w:p w:rsidR="00BA5F1B" w:rsidRDefault="00BA5F1B" w:rsidP="00BA5F1B">
      <w:pPr>
        <w:jc w:val="both"/>
        <w:rPr>
          <w:sz w:val="20"/>
          <w:szCs w:val="20"/>
        </w:rPr>
      </w:pPr>
    </w:p>
    <w:p w:rsidR="00BA5F1B" w:rsidRDefault="00BA5F1B" w:rsidP="00BA5F1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Однако в пятницу к завершению торгов настроение на рынке испортилось - переговоры частных инвесторов о реструктуризации долга Греции не увенчались успехом. Банки </w:t>
      </w:r>
      <w:proofErr w:type="gramStart"/>
      <w:r>
        <w:rPr>
          <w:sz w:val="20"/>
          <w:szCs w:val="20"/>
        </w:rPr>
        <w:t>хотят</w:t>
      </w:r>
      <w:proofErr w:type="gramEnd"/>
      <w:r>
        <w:rPr>
          <w:sz w:val="20"/>
          <w:szCs w:val="20"/>
        </w:rPr>
        <w:t xml:space="preserve"> как минимум равного подхода при реструктуризации а именно чтобы урезание долгов было равным у всех кредиторов. По предполагаемой схеме только частные банки должны будут обменять свои облигации на новые долгосрочные облигации с меньшим номиналом и лишь 15%. </w:t>
      </w:r>
    </w:p>
    <w:p w:rsidR="0000173E" w:rsidRDefault="0000173E" w:rsidP="00BA5F1B">
      <w:pPr>
        <w:jc w:val="both"/>
        <w:rPr>
          <w:sz w:val="20"/>
          <w:szCs w:val="20"/>
        </w:rPr>
      </w:pPr>
    </w:p>
    <w:p w:rsidR="00BA5F1B" w:rsidRDefault="00BA5F1B" w:rsidP="00BA5F1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Но еще большее влияние на рынки оказали вначале слухи (и продажи инсайдеров), а затем и официальное сообщение о снижении рейтингов европейским странам. Международное рейтинговое агентство </w:t>
      </w: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>&amp;</w:t>
      </w:r>
      <w:r>
        <w:rPr>
          <w:sz w:val="20"/>
          <w:szCs w:val="20"/>
          <w:lang w:val="en-US"/>
        </w:rPr>
        <w:t>P</w:t>
      </w:r>
      <w:r w:rsidRPr="00BA5F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понизило рейтинги сразу 8 европейским странам. Наибольшее впечатление произвели потери наивысшего рейтинга  Францией и Австрией (с ААА до АА+), а так же потери 2 ступеней в рейтингах Италии, Испании, Португалии и Кипра. (Кроме того по одной ступени рейтинга потеряли Мальта, Словакия и Словения). Реакция на снижение рейтинга уже прокатилась волной по мировым фондовым рынкам. Веерное снижение рейтингов европейским странам, в условиях, когда Европа только нащупывает пути преодоления долгового кризиса, оказало сильное воздействие  на самочувствие европейской валюты и фондовых рынков Старого Света. Не удивительно, что в Европе все настойчивее звучат призывы к созданию собственных рейтинговых агентств. А рынок на текущей неделе будет жить под впечатлением принятых </w:t>
      </w: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>&amp;</w:t>
      </w:r>
      <w:r>
        <w:rPr>
          <w:sz w:val="20"/>
          <w:szCs w:val="20"/>
          <w:lang w:val="en-US"/>
        </w:rPr>
        <w:t>P</w:t>
      </w:r>
      <w:r w:rsidRPr="00BA5F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решений. </w:t>
      </w:r>
    </w:p>
    <w:p w:rsidR="00BA5F1B" w:rsidRDefault="00BA5F1B" w:rsidP="00BA5F1B">
      <w:pPr>
        <w:jc w:val="both"/>
        <w:rPr>
          <w:sz w:val="20"/>
          <w:szCs w:val="20"/>
        </w:rPr>
      </w:pPr>
    </w:p>
    <w:p w:rsidR="00BA5F1B" w:rsidRDefault="00BA5F1B" w:rsidP="00BA5F1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западе на прошедшей неделе отчетностью </w:t>
      </w:r>
      <w:proofErr w:type="spellStart"/>
      <w:r>
        <w:rPr>
          <w:sz w:val="20"/>
          <w:szCs w:val="20"/>
          <w:lang w:val="en-US"/>
        </w:rPr>
        <w:t>Alkola</w:t>
      </w:r>
      <w:proofErr w:type="spellEnd"/>
      <w:r w:rsidRPr="00BA5F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стартовал сезон отчетности по итогам 4 квартала 2011 года. Компании сообщают об успехах, достигнутых в прошедший год и некоторых планах на предстоящий год. Однако у нас основой вал отчетности по итогам года будет </w:t>
      </w:r>
      <w:proofErr w:type="gramStart"/>
      <w:r>
        <w:rPr>
          <w:sz w:val="20"/>
          <w:szCs w:val="20"/>
        </w:rPr>
        <w:t>приходится</w:t>
      </w:r>
      <w:proofErr w:type="gramEnd"/>
      <w:r>
        <w:rPr>
          <w:sz w:val="20"/>
          <w:szCs w:val="20"/>
        </w:rPr>
        <w:t xml:space="preserve"> на весенние месяцы. На предстоящую неделю внутренний новостной фон лишь умеренно будет сфокусирован на корпоративных событиях. Среди них можно упомянуть операционные результаты представят </w:t>
      </w:r>
      <w:proofErr w:type="spellStart"/>
      <w:r>
        <w:rPr>
          <w:sz w:val="20"/>
          <w:szCs w:val="20"/>
        </w:rPr>
        <w:t>Уралкалий</w:t>
      </w:r>
      <w:proofErr w:type="spellEnd"/>
      <w:r>
        <w:rPr>
          <w:sz w:val="20"/>
          <w:szCs w:val="20"/>
        </w:rPr>
        <w:t xml:space="preserve">, ТМК, Х5, М. Видео О'КЕЙ, </w:t>
      </w:r>
      <w:proofErr w:type="spellStart"/>
      <w:r>
        <w:rPr>
          <w:sz w:val="20"/>
          <w:szCs w:val="20"/>
        </w:rPr>
        <w:t>Alliance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Oil</w:t>
      </w:r>
      <w:proofErr w:type="spellEnd"/>
      <w:r>
        <w:rPr>
          <w:sz w:val="20"/>
          <w:szCs w:val="20"/>
        </w:rPr>
        <w:t xml:space="preserve">. В свете выходивших не очень благоприятных результатов конца года включая замедление темпов роста </w:t>
      </w:r>
      <w:proofErr w:type="spellStart"/>
      <w:r>
        <w:rPr>
          <w:sz w:val="20"/>
          <w:szCs w:val="20"/>
        </w:rPr>
        <w:t>пром</w:t>
      </w:r>
      <w:proofErr w:type="spellEnd"/>
      <w:r>
        <w:rPr>
          <w:sz w:val="20"/>
          <w:szCs w:val="20"/>
        </w:rPr>
        <w:t xml:space="preserve"> производства, снижение выработки электроэнергии по итогам декабря, снижение на 5,5% объемов добычи нефти компанией ЛУКОЙЛ представляемые отчеты дадут новую информацию к размышлению. Совет директоров "</w:t>
      </w:r>
      <w:proofErr w:type="spellStart"/>
      <w:r>
        <w:rPr>
          <w:sz w:val="20"/>
          <w:szCs w:val="20"/>
        </w:rPr>
        <w:t>Транснефти</w:t>
      </w:r>
      <w:proofErr w:type="spellEnd"/>
      <w:r>
        <w:rPr>
          <w:sz w:val="20"/>
          <w:szCs w:val="20"/>
        </w:rPr>
        <w:t xml:space="preserve">" на заседании 16 января рассмотрит вопрос об изменении состава правления. </w:t>
      </w:r>
    </w:p>
    <w:p w:rsidR="00BA5F1B" w:rsidRDefault="00BA5F1B" w:rsidP="00BA5F1B">
      <w:pPr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BA5F1B" w:rsidRDefault="00BA5F1B" w:rsidP="00BA5F1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наступающей неделе выйдет ряд существенных макроэкономических показателей.  В том числе инфляция в России за прошедшую неделю. </w:t>
      </w:r>
      <w:proofErr w:type="gramStart"/>
      <w:r>
        <w:rPr>
          <w:sz w:val="20"/>
          <w:szCs w:val="20"/>
        </w:rPr>
        <w:t>(Обычно в начале года в стране отмечается сильный всплеск инфляции, но это не должно относиться к текущем году, в котором тарифы услуг для населения будут повышаться лишь в средине года.</w:t>
      </w:r>
      <w:proofErr w:type="gramEnd"/>
      <w:r>
        <w:rPr>
          <w:sz w:val="20"/>
          <w:szCs w:val="20"/>
        </w:rPr>
        <w:t xml:space="preserve"> Получение в прошлом году уровня инфляции в 6,1% и предстоящие выборы президента задают очень жесткие рамки для роста цен в начале текущего года. </w:t>
      </w:r>
      <w:proofErr w:type="gramStart"/>
      <w:r>
        <w:rPr>
          <w:sz w:val="20"/>
          <w:szCs w:val="20"/>
        </w:rPr>
        <w:t>Поэтому выходящие данные по инфляции будут иметь особое значение).</w:t>
      </w:r>
      <w:proofErr w:type="gramEnd"/>
      <w:r>
        <w:rPr>
          <w:sz w:val="20"/>
          <w:szCs w:val="20"/>
        </w:rPr>
        <w:t xml:space="preserve"> Выйдут данные по объемам ЗВР, денежной массе. Из зарубежных </w:t>
      </w:r>
      <w:proofErr w:type="spellStart"/>
      <w:r>
        <w:rPr>
          <w:sz w:val="20"/>
          <w:szCs w:val="20"/>
        </w:rPr>
        <w:t>макроновостей</w:t>
      </w:r>
      <w:proofErr w:type="spellEnd"/>
      <w:r>
        <w:rPr>
          <w:sz w:val="20"/>
          <w:szCs w:val="20"/>
        </w:rPr>
        <w:t xml:space="preserve"> можно обратить внимание на данные по производственной и потребительской инфляции в США, жилищным стартам и продажам домов на первичном и вторичном рынках, первичным обращениям за пособиями по безработице, росту </w:t>
      </w:r>
      <w:proofErr w:type="spellStart"/>
      <w:r>
        <w:rPr>
          <w:sz w:val="20"/>
          <w:szCs w:val="20"/>
        </w:rPr>
        <w:t>пром</w:t>
      </w:r>
      <w:proofErr w:type="spellEnd"/>
      <w:r>
        <w:rPr>
          <w:sz w:val="20"/>
          <w:szCs w:val="20"/>
        </w:rPr>
        <w:t xml:space="preserve">. производства. Интересными будут </w:t>
      </w:r>
      <w:proofErr w:type="spellStart"/>
      <w:r>
        <w:rPr>
          <w:sz w:val="20"/>
          <w:szCs w:val="20"/>
        </w:rPr>
        <w:t>макроданные</w:t>
      </w:r>
      <w:proofErr w:type="spellEnd"/>
      <w:r>
        <w:rPr>
          <w:sz w:val="20"/>
          <w:szCs w:val="20"/>
        </w:rPr>
        <w:t xml:space="preserve"> по Китаю (ВВП за 4 кв., </w:t>
      </w:r>
      <w:proofErr w:type="spellStart"/>
      <w:r>
        <w:rPr>
          <w:sz w:val="20"/>
          <w:szCs w:val="20"/>
        </w:rPr>
        <w:t>пром</w:t>
      </w:r>
      <w:proofErr w:type="spellEnd"/>
      <w:r>
        <w:rPr>
          <w:sz w:val="20"/>
          <w:szCs w:val="20"/>
        </w:rPr>
        <w:t>. производство и розничные продажи в декабре, а также динамика цен на недвижимость).</w:t>
      </w:r>
    </w:p>
    <w:p w:rsidR="00BA5F1B" w:rsidRDefault="00BA5F1B" w:rsidP="00BA5F1B">
      <w:pPr>
        <w:jc w:val="both"/>
        <w:rPr>
          <w:sz w:val="20"/>
          <w:szCs w:val="20"/>
        </w:rPr>
      </w:pPr>
    </w:p>
    <w:p w:rsidR="00BA5F1B" w:rsidRDefault="00BA5F1B" w:rsidP="00BA5F1B">
      <w:pPr>
        <w:jc w:val="both"/>
        <w:rPr>
          <w:sz w:val="20"/>
          <w:szCs w:val="20"/>
        </w:rPr>
      </w:pPr>
      <w:r>
        <w:rPr>
          <w:sz w:val="20"/>
          <w:szCs w:val="20"/>
        </w:rPr>
        <w:t>Но самыми важными событиями ближайшего будущего обещают стать заседания Комитета по открытым рынкам ФРС США, развитие ситуации вокруг Ирана и в том числе ожидаемое решение Европы об эмбарго на поставки нефти. Но оба указанных события будут происходить уже за рамками наступающей недели, а вопрос о санкциях и вовсе обещают перенести на полгода. (В свете последних снижений рейтингов перенос принятия решения о санкциях кажется более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чем своевременным). Рынок вновь будет жить ожиданиями и гаданиями на кофейной гуще. А пока после массированного снижения рейтингов для индекса ММВБ более актуальным представляется не штурм 1500 </w:t>
      </w:r>
      <w:proofErr w:type="spellStart"/>
      <w:r>
        <w:rPr>
          <w:sz w:val="20"/>
          <w:szCs w:val="20"/>
        </w:rPr>
        <w:t>пунтов</w:t>
      </w:r>
      <w:proofErr w:type="spellEnd"/>
      <w:r>
        <w:rPr>
          <w:sz w:val="20"/>
          <w:szCs w:val="20"/>
        </w:rPr>
        <w:t xml:space="preserve">, а поход индекса в сторону 1400 пунктов. </w:t>
      </w:r>
    </w:p>
    <w:p w:rsidR="00BA5F1B" w:rsidRDefault="00BA5F1B" w:rsidP="00BA5F1B">
      <w:pPr>
        <w:ind w:left="108"/>
        <w:jc w:val="both"/>
        <w:rPr>
          <w:sz w:val="20"/>
          <w:szCs w:val="20"/>
        </w:rPr>
      </w:pPr>
    </w:p>
    <w:p w:rsidR="00BA5F1B" w:rsidRDefault="00BA5F1B" w:rsidP="00BA5F1B">
      <w:pPr>
        <w:rPr>
          <w:sz w:val="20"/>
          <w:szCs w:val="20"/>
        </w:rPr>
      </w:pPr>
      <w:smartTag w:uri="urn:schemas-microsoft-com:office:smarttags" w:element="PersonName">
        <w:smartTagPr>
          <w:attr w:name="ProductID" w:val="Николай Подлевских"/>
        </w:smartTagPr>
        <w:r>
          <w:rPr>
            <w:sz w:val="20"/>
            <w:szCs w:val="20"/>
          </w:rPr>
          <w:t xml:space="preserve">Николай </w:t>
        </w:r>
        <w:proofErr w:type="spellStart"/>
        <w:r>
          <w:rPr>
            <w:sz w:val="20"/>
            <w:szCs w:val="20"/>
          </w:rPr>
          <w:t>Подлевских</w:t>
        </w:r>
      </w:smartTag>
      <w:proofErr w:type="spellEnd"/>
      <w:r>
        <w:rPr>
          <w:sz w:val="20"/>
          <w:szCs w:val="20"/>
        </w:rPr>
        <w:t>, Начальник аналитического отдела ИК «</w:t>
      </w:r>
      <w:proofErr w:type="spellStart"/>
      <w:r>
        <w:rPr>
          <w:sz w:val="20"/>
          <w:szCs w:val="20"/>
        </w:rPr>
        <w:t>Церих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Кэпитал</w:t>
      </w:r>
      <w:proofErr w:type="spellEnd"/>
      <w:r>
        <w:rPr>
          <w:sz w:val="20"/>
          <w:szCs w:val="20"/>
        </w:rPr>
        <w:t xml:space="preserve"> Менеджмент» </w:t>
      </w:r>
    </w:p>
    <w:p w:rsidR="00BE7B61" w:rsidRPr="00157598" w:rsidRDefault="00BE7B61" w:rsidP="00111BC8"/>
    <w:sectPr w:rsidR="00BE7B61" w:rsidRPr="00157598" w:rsidSect="00A4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04DCA"/>
    <w:multiLevelType w:val="multilevel"/>
    <w:tmpl w:val="0550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6C6FBA"/>
    <w:multiLevelType w:val="hybridMultilevel"/>
    <w:tmpl w:val="06A65DC8"/>
    <w:lvl w:ilvl="0" w:tplc="3ED0141A">
      <w:numFmt w:val="bullet"/>
      <w:lvlText w:val=""/>
      <w:lvlJc w:val="left"/>
      <w:pPr>
        <w:ind w:left="1440" w:hanging="360"/>
      </w:pPr>
      <w:rPr>
        <w:rFonts w:ascii="Wingdings" w:eastAsia="Times New Roman" w:hAnsi="Wingdings" w:cs="Aria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C83E88"/>
    <w:multiLevelType w:val="multilevel"/>
    <w:tmpl w:val="632C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2B023C"/>
    <w:multiLevelType w:val="hybridMultilevel"/>
    <w:tmpl w:val="47C851AC"/>
    <w:lvl w:ilvl="0" w:tplc="66D2F8C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561F6"/>
    <w:rsid w:val="0000173E"/>
    <w:rsid w:val="000021B0"/>
    <w:rsid w:val="00002E36"/>
    <w:rsid w:val="00011350"/>
    <w:rsid w:val="00016329"/>
    <w:rsid w:val="0003178E"/>
    <w:rsid w:val="00035811"/>
    <w:rsid w:val="00035D48"/>
    <w:rsid w:val="00050DE3"/>
    <w:rsid w:val="00066E99"/>
    <w:rsid w:val="000902E7"/>
    <w:rsid w:val="000A7511"/>
    <w:rsid w:val="000B46F9"/>
    <w:rsid w:val="000D2BD3"/>
    <w:rsid w:val="00111BC8"/>
    <w:rsid w:val="00121A4F"/>
    <w:rsid w:val="001561F6"/>
    <w:rsid w:val="001564BE"/>
    <w:rsid w:val="00157598"/>
    <w:rsid w:val="001D23CE"/>
    <w:rsid w:val="00210E72"/>
    <w:rsid w:val="002167A9"/>
    <w:rsid w:val="002B39D5"/>
    <w:rsid w:val="00301473"/>
    <w:rsid w:val="00310CB3"/>
    <w:rsid w:val="00353FE1"/>
    <w:rsid w:val="0038468A"/>
    <w:rsid w:val="003E1859"/>
    <w:rsid w:val="00414D2A"/>
    <w:rsid w:val="00433377"/>
    <w:rsid w:val="0045319C"/>
    <w:rsid w:val="0048139D"/>
    <w:rsid w:val="00536B61"/>
    <w:rsid w:val="00570224"/>
    <w:rsid w:val="005D7752"/>
    <w:rsid w:val="005F36B6"/>
    <w:rsid w:val="00647734"/>
    <w:rsid w:val="00692E38"/>
    <w:rsid w:val="00694C70"/>
    <w:rsid w:val="006A2D33"/>
    <w:rsid w:val="006A6DDC"/>
    <w:rsid w:val="006B067A"/>
    <w:rsid w:val="00722418"/>
    <w:rsid w:val="00733DCB"/>
    <w:rsid w:val="00795C07"/>
    <w:rsid w:val="007D329C"/>
    <w:rsid w:val="0080565D"/>
    <w:rsid w:val="008112B1"/>
    <w:rsid w:val="008227AE"/>
    <w:rsid w:val="0087394B"/>
    <w:rsid w:val="008E264F"/>
    <w:rsid w:val="008F4635"/>
    <w:rsid w:val="00900B09"/>
    <w:rsid w:val="00931863"/>
    <w:rsid w:val="00931F7E"/>
    <w:rsid w:val="00937062"/>
    <w:rsid w:val="0095041E"/>
    <w:rsid w:val="00973FEC"/>
    <w:rsid w:val="009813ED"/>
    <w:rsid w:val="00A307E4"/>
    <w:rsid w:val="00A45CEE"/>
    <w:rsid w:val="00A56F5B"/>
    <w:rsid w:val="00AC73A8"/>
    <w:rsid w:val="00AD2A0E"/>
    <w:rsid w:val="00B119B1"/>
    <w:rsid w:val="00B17DD9"/>
    <w:rsid w:val="00B21779"/>
    <w:rsid w:val="00B907F3"/>
    <w:rsid w:val="00B94AA2"/>
    <w:rsid w:val="00BA5F1B"/>
    <w:rsid w:val="00BB4237"/>
    <w:rsid w:val="00BE7B61"/>
    <w:rsid w:val="00BF153D"/>
    <w:rsid w:val="00C256CF"/>
    <w:rsid w:val="00C50EFC"/>
    <w:rsid w:val="00C57622"/>
    <w:rsid w:val="00C97F2B"/>
    <w:rsid w:val="00CA5344"/>
    <w:rsid w:val="00CC5C8B"/>
    <w:rsid w:val="00CF6377"/>
    <w:rsid w:val="00D13538"/>
    <w:rsid w:val="00D15C4D"/>
    <w:rsid w:val="00D82FF4"/>
    <w:rsid w:val="00DC04C1"/>
    <w:rsid w:val="00DD2196"/>
    <w:rsid w:val="00DF3EFF"/>
    <w:rsid w:val="00E839D0"/>
    <w:rsid w:val="00E951F8"/>
    <w:rsid w:val="00ED3820"/>
    <w:rsid w:val="00F13A4D"/>
    <w:rsid w:val="00F303C7"/>
    <w:rsid w:val="00F35207"/>
    <w:rsid w:val="00F82E64"/>
    <w:rsid w:val="00F82FAE"/>
    <w:rsid w:val="00F8568C"/>
    <w:rsid w:val="00FB0AD2"/>
    <w:rsid w:val="00FB5DE9"/>
    <w:rsid w:val="00FD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F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29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6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66E9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15C4D"/>
    <w:pPr>
      <w:spacing w:before="100" w:beforeAutospacing="1" w:after="100" w:afterAutospacing="1"/>
    </w:pPr>
  </w:style>
  <w:style w:type="character" w:customStyle="1" w:styleId="sm4">
    <w:name w:val="sm4"/>
    <w:basedOn w:val="a0"/>
    <w:rsid w:val="00AD2A0E"/>
    <w:rPr>
      <w:sz w:val="22"/>
      <w:szCs w:val="22"/>
    </w:rPr>
  </w:style>
  <w:style w:type="paragraph" w:styleId="a5">
    <w:name w:val="Plain Text"/>
    <w:basedOn w:val="a"/>
    <w:link w:val="a6"/>
    <w:uiPriority w:val="99"/>
    <w:semiHidden/>
    <w:unhideWhenUsed/>
    <w:rsid w:val="006A6DDC"/>
    <w:rPr>
      <w:rFonts w:ascii="Consolas" w:hAnsi="Consolas" w:cstheme="minorBidi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semiHidden/>
    <w:rsid w:val="006A6DDC"/>
    <w:rPr>
      <w:rFonts w:ascii="Consolas" w:hAnsi="Consolas"/>
      <w:sz w:val="21"/>
      <w:szCs w:val="21"/>
    </w:rPr>
  </w:style>
  <w:style w:type="character" w:customStyle="1" w:styleId="usd3">
    <w:name w:val="usd3"/>
    <w:basedOn w:val="a0"/>
    <w:rsid w:val="00DF3EFF"/>
  </w:style>
  <w:style w:type="character" w:styleId="a7">
    <w:name w:val="Hyperlink"/>
    <w:basedOn w:val="a0"/>
    <w:uiPriority w:val="99"/>
    <w:unhideWhenUsed/>
    <w:rsid w:val="00DF3EFF"/>
    <w:rPr>
      <w:color w:val="0053A0"/>
      <w:u w:val="single"/>
    </w:rPr>
  </w:style>
  <w:style w:type="character" w:styleId="a8">
    <w:name w:val="Strong"/>
    <w:qFormat/>
    <w:rsid w:val="008F4635"/>
    <w:rPr>
      <w:b/>
      <w:bCs/>
    </w:rPr>
  </w:style>
  <w:style w:type="paragraph" w:customStyle="1" w:styleId="Default">
    <w:name w:val="Default"/>
    <w:rsid w:val="000902E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0902E7"/>
    <w:pPr>
      <w:spacing w:line="161" w:lineRule="atLeast"/>
    </w:pPr>
    <w:rPr>
      <w:color w:val="auto"/>
    </w:rPr>
  </w:style>
  <w:style w:type="paragraph" w:customStyle="1" w:styleId="a00">
    <w:name w:val="a0"/>
    <w:basedOn w:val="a"/>
    <w:rsid w:val="00B119B1"/>
    <w:pPr>
      <w:spacing w:after="80"/>
      <w:jc w:val="both"/>
    </w:pPr>
    <w:rPr>
      <w:rFonts w:ascii="Helvetica Neue" w:hAnsi="Helvetica Neue"/>
      <w:i/>
      <w:iCs/>
      <w:color w:val="000000"/>
      <w:sz w:val="22"/>
      <w:szCs w:val="22"/>
    </w:rPr>
  </w:style>
  <w:style w:type="paragraph" w:customStyle="1" w:styleId="default0">
    <w:name w:val="default"/>
    <w:basedOn w:val="a"/>
    <w:rsid w:val="00694C70"/>
    <w:pPr>
      <w:spacing w:before="100" w:beforeAutospacing="1" w:after="100" w:afterAutospacing="1"/>
    </w:pPr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D3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cptxt">
    <w:name w:val="rcptxt"/>
    <w:basedOn w:val="a"/>
    <w:rsid w:val="007D329C"/>
    <w:pPr>
      <w:spacing w:before="100" w:beforeAutospacing="1" w:after="240"/>
      <w:jc w:val="both"/>
    </w:pPr>
    <w:rPr>
      <w:rFonts w:eastAsia="Times New Roman"/>
      <w:sz w:val="20"/>
      <w:szCs w:val="20"/>
    </w:rPr>
  </w:style>
  <w:style w:type="character" w:customStyle="1" w:styleId="commr">
    <w:name w:val="commr"/>
    <w:basedOn w:val="a0"/>
    <w:rsid w:val="00433377"/>
  </w:style>
  <w:style w:type="paragraph" w:styleId="a9">
    <w:name w:val="No Spacing"/>
    <w:basedOn w:val="a"/>
    <w:uiPriority w:val="1"/>
    <w:qFormat/>
    <w:rsid w:val="008227AE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D135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3538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46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text19">
    <w:name w:val="text19"/>
    <w:basedOn w:val="a"/>
    <w:rsid w:val="00937062"/>
    <w:pPr>
      <w:spacing w:after="216" w:line="312" w:lineRule="auto"/>
    </w:pPr>
    <w:rPr>
      <w:rFonts w:ascii="Arial" w:hAnsi="Arial" w:cs="Arial"/>
      <w:sz w:val="18"/>
      <w:szCs w:val="18"/>
    </w:rPr>
  </w:style>
  <w:style w:type="table" w:styleId="ac">
    <w:name w:val="Table Grid"/>
    <w:basedOn w:val="a1"/>
    <w:rsid w:val="00BE7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2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951">
      <w:bodyDiv w:val="1"/>
      <w:marLeft w:val="0"/>
      <w:marRight w:val="0"/>
      <w:marTop w:val="24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4217">
                      <w:marLeft w:val="2965"/>
                      <w:marRight w:val="2965"/>
                      <w:marTop w:val="61"/>
                      <w:marBottom w:val="61"/>
                      <w:divBdr>
                        <w:top w:val="none" w:sz="0" w:space="0" w:color="auto"/>
                        <w:left w:val="single" w:sz="4" w:space="6" w:color="FFB48F"/>
                        <w:bottom w:val="none" w:sz="0" w:space="0" w:color="auto"/>
                        <w:right w:val="single" w:sz="4" w:space="6" w:color="FFB48F"/>
                      </w:divBdr>
                      <w:divsChild>
                        <w:div w:id="42264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7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138">
      <w:bodyDiv w:val="1"/>
      <w:marLeft w:val="0"/>
      <w:marRight w:val="0"/>
      <w:marTop w:val="24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2395">
                      <w:marLeft w:val="2965"/>
                      <w:marRight w:val="2965"/>
                      <w:marTop w:val="61"/>
                      <w:marBottom w:val="61"/>
                      <w:divBdr>
                        <w:top w:val="none" w:sz="0" w:space="0" w:color="auto"/>
                        <w:left w:val="single" w:sz="4" w:space="6" w:color="FFB48F"/>
                        <w:bottom w:val="none" w:sz="0" w:space="0" w:color="auto"/>
                        <w:right w:val="single" w:sz="4" w:space="6" w:color="FFB48F"/>
                      </w:divBdr>
                      <w:divsChild>
                        <w:div w:id="53539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381">
      <w:bodyDiv w:val="1"/>
      <w:marLeft w:val="0"/>
      <w:marRight w:val="0"/>
      <w:marTop w:val="24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2861">
                      <w:marLeft w:val="2965"/>
                      <w:marRight w:val="2965"/>
                      <w:marTop w:val="61"/>
                      <w:marBottom w:val="61"/>
                      <w:divBdr>
                        <w:top w:val="none" w:sz="0" w:space="0" w:color="auto"/>
                        <w:left w:val="single" w:sz="4" w:space="6" w:color="FFB48F"/>
                        <w:bottom w:val="none" w:sz="0" w:space="0" w:color="auto"/>
                        <w:right w:val="single" w:sz="4" w:space="6" w:color="FFB48F"/>
                      </w:divBdr>
                      <w:divsChild>
                        <w:div w:id="21465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086">
      <w:bodyDiv w:val="1"/>
      <w:marLeft w:val="0"/>
      <w:marRight w:val="0"/>
      <w:marTop w:val="24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69601">
                      <w:marLeft w:val="2965"/>
                      <w:marRight w:val="2965"/>
                      <w:marTop w:val="61"/>
                      <w:marBottom w:val="61"/>
                      <w:divBdr>
                        <w:top w:val="none" w:sz="0" w:space="0" w:color="auto"/>
                        <w:left w:val="single" w:sz="4" w:space="6" w:color="FFB48F"/>
                        <w:bottom w:val="none" w:sz="0" w:space="0" w:color="auto"/>
                        <w:right w:val="single" w:sz="4" w:space="6" w:color="FFB48F"/>
                      </w:divBdr>
                      <w:divsChild>
                        <w:div w:id="36085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1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4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2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3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sepishkina</dc:creator>
  <cp:keywords/>
  <dc:description/>
  <cp:lastModifiedBy>sepishkina</cp:lastModifiedBy>
  <cp:revision>31</cp:revision>
  <cp:lastPrinted>2011-12-30T11:18:00Z</cp:lastPrinted>
  <dcterms:created xsi:type="dcterms:W3CDTF">2011-11-21T06:50:00Z</dcterms:created>
  <dcterms:modified xsi:type="dcterms:W3CDTF">2012-01-16T09:31:00Z</dcterms:modified>
</cp:coreProperties>
</file>