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A5D" w:rsidRDefault="005D0A5D" w:rsidP="005D0A5D">
      <w:pPr>
        <w:jc w:val="both"/>
        <w:rPr>
          <w:b/>
          <w:bCs/>
          <w:sz w:val="20"/>
          <w:szCs w:val="20"/>
        </w:rPr>
      </w:pPr>
      <w:r>
        <w:rPr>
          <w:b/>
          <w:bCs/>
          <w:sz w:val="20"/>
          <w:szCs w:val="20"/>
        </w:rPr>
        <w:t>Два Марио сбили доходность итальянских облигаций</w:t>
      </w:r>
    </w:p>
    <w:p w:rsidR="005D0A5D" w:rsidRDefault="005D0A5D" w:rsidP="005D0A5D">
      <w:pPr>
        <w:jc w:val="both"/>
        <w:rPr>
          <w:b/>
          <w:bCs/>
          <w:sz w:val="20"/>
          <w:szCs w:val="20"/>
        </w:rPr>
      </w:pPr>
    </w:p>
    <w:p w:rsidR="005D0A5D" w:rsidRDefault="005D0A5D" w:rsidP="005D0A5D">
      <w:pPr>
        <w:jc w:val="both"/>
        <w:rPr>
          <w:sz w:val="20"/>
          <w:szCs w:val="20"/>
        </w:rPr>
      </w:pPr>
      <w:r>
        <w:rPr>
          <w:sz w:val="20"/>
          <w:szCs w:val="20"/>
        </w:rPr>
        <w:t xml:space="preserve">Прошедшая неделя стала второй неделей умеренной коррекции. Хотя дневные колебания бывали зачастую бОльшими, чем итоговое недельное движение. Основные события, которые определяли направления колебательных движений рынка, вновь располагались в Европе. Шок от объявления и последующей отмены референдума в Греции постепенно проходил. К концу недели стало известно об утверждении на посту премьера-министра Лукаса Пападемуса. Он известен как ярый сторонник сохранения евроинтеграции и при нем вероятность сохранения Греции в составе Евросоюза повышается. Видимо, будут пытаться проводить в жизнь те сценарии и договоренности, которые были достигнуты на саммите стран Евросоюза 26 октября.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На прошедшей неделе лидером по продуцированию первостепенных новостей стала Италия. Огромные суммы, которые погашает страна в ноябре вызвали сильное напряжение на рынке облигаций. Разматывание спирали долгового кризиса в Европе резко ускорилось после того как крупнейший клиринговый центр Европы Clearnet поднял депозитную маржу до 11.5% (в начале октября 6.65%) для торговли облигациями Италии. Доходность облигаций резко пошла в гору и достигала 7,5%. При том, что год назад доходность облигаций составляла 4% и почти двукратный рост доходности тоже кратно увеличивает стоимость вновь привлекаемого заимствования. Рост цен на золото отражал растущее беспокойство игроков.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Подрастание начала ноября вывело цены на благородный металл с 1700 до 1800 долларов за тройскую унцию. Правда после этого была 50 долларовая коррекция. Однако ожидание продолжения роста сохраняются и уже в недалеком будущем вполне резонно ждать обновления максимума. Цены на нефть колебались в диапазоне от 110 до 116 долларов за баррель.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Фондовый рынок показывал хорошую внутридневную волатильность. Особенно старались акции Сбербанка. Полеты вверх и вниз достигали 5%. По акциям Газпрома движения были немного слабее, но и там колебания были весьма впечатляющими. Правда, по компании проходили очень существенные новости. Запуск Северного потока и отчет компании по итогам первого полугодия создавали положительный фон. Вместе с ожидаемым решением по двукратному увеличению дивидендов это создает позитивные ожидания для динамики акций. Однако ни цены на газ за океаном, ни динамика цен на нефть, не очень радовали акционеров Газпрома.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На предстоящую неделю не ожидается больше столь же ярких событий, какие были последнее время. (Саммит Евросоюза, заседания Комитета по открытым рынкам ФРС США, заседания ЕЦБ и Банка Англии, референдумы, отставки правительств и т.д.). Но совсем спокойной жизни не будет – долговые проблемы периферии Европы не позволят расслабится. Острота их не снижается, а надежного решения проблемы пока не возникает.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Из внутренних новостей стоит обратить внимание на отчеты Вымпелкома, РУСАЛа, и ЛУКОЙЛа. 15 ноября будет последний срок предоставления отчетности по РСБУ за 3 квартал. Будет выход операционных результатов Магнита. Стоит обратить внимание на 15 ноября, когда будет закрываться реестр для участия в ВОСА (выплата промежуточных дивидендов). Понятно, что под эту дату можно ожидать роста цен с последующим скачком вниз 16 ноября сразу после закрытия реестра акционеров. Будет ряд интересных данных от Росстата в том числе прирост промышленного производства и индекса цен производителей. По акциям Норильского Никеля приближается дата окончательного расчета по оферте на выкуп акций (18 ноября) по подававшимся недавно заявкам. Полагаем, что есть ряд акций, которые представляют среднесрочный интерес для покупок. В том числе можно выделить акции Газпрома, по которым в последнее время был сформирован интересный положительный поток новостей включая запуск Северного потока, положительной отчетности за первое полугодие и ожидаемое удвоение дивидендов по акциям компании. Интересно будет наблюдать за динамикой акций ЛУКОЙЛа, по которым будут выходить отчетные данные.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Однако общерыночные движения будут важнее, а возможно и сильнее. Правда, как раз пока с трендами рынок не может определиться.  Двухнедельная консолидация рынка на достигнутых уровнях предполагает, что эта невнятица должна рано или поздно закончится. В частности, возможно будет достигнут некоторый прорыв в видении того, как должна реформироваться Европа для преодоления своих проблем. Обсуждающиеся варианты создания двухскоростной Еврозоны или выделение ядра Еврозоны, который сможет удовлетворять более жестким требованиям. Однако вместе с этим должны обсуждаться вопросы возможной более жесткой интеграции. Это длительный и многотрудный путь, но каждый успех или значительный прогресс в таком деле будет восприниматься рынком. А пока в фокусе внимания остается динамика облигаций Италии. </w:t>
      </w:r>
    </w:p>
    <w:p w:rsidR="005D0A5D" w:rsidRDefault="005D0A5D" w:rsidP="005D0A5D">
      <w:pPr>
        <w:jc w:val="both"/>
        <w:rPr>
          <w:sz w:val="20"/>
          <w:szCs w:val="20"/>
        </w:rPr>
      </w:pPr>
      <w:r>
        <w:rPr>
          <w:sz w:val="20"/>
          <w:szCs w:val="20"/>
        </w:rPr>
        <w:t xml:space="preserve">После отставки Сильвии Берлускони с поста премьер-министра доходности облигаций Италии резко пошли вниз. Произошло ли это благодаря надеждам на решение долговых проблем Италии в связи с приходом нового главы правительства Марио Монти, или благодаря действиям ЕЦБ сказать пока затруднительно. Хотя руководство ЕЦБ находится с ноября в руках итальянца Марио Драги и можно предположить, что интерес к итальянским облигациям у ЕЦБ будет чуть выше. Позже мы узнаем  объем выкупа облигаций со стороны ЕЦБ. </w:t>
      </w:r>
    </w:p>
    <w:p w:rsidR="005D0A5D" w:rsidRDefault="005D0A5D" w:rsidP="005D0A5D">
      <w:pPr>
        <w:jc w:val="both"/>
        <w:rPr>
          <w:sz w:val="20"/>
          <w:szCs w:val="20"/>
        </w:rPr>
      </w:pPr>
    </w:p>
    <w:p w:rsidR="005D0A5D" w:rsidRDefault="005D0A5D" w:rsidP="005D0A5D">
      <w:pPr>
        <w:jc w:val="both"/>
        <w:rPr>
          <w:sz w:val="20"/>
          <w:szCs w:val="20"/>
        </w:rPr>
      </w:pPr>
      <w:r>
        <w:rPr>
          <w:sz w:val="20"/>
          <w:szCs w:val="20"/>
        </w:rPr>
        <w:t xml:space="preserve">Полагаем, что чуть более вероятным исходом из сложившейся ситуации должно стать продолжение роста. Ключевым фактором для возникновения более основательно тренда мог бы стать прогресс в решении европейских проблем, а индикаторами для нашего рынка остаются динамика евро, цены на нефть и золото, а так же то куда будут выходить из размашистого боковика ведущие фондовые рынки.   </w:t>
      </w:r>
    </w:p>
    <w:p w:rsidR="001A6B0D" w:rsidRDefault="001A6B0D"/>
    <w:sectPr w:rsidR="001A6B0D" w:rsidSect="001A6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characterSpacingControl w:val="doNotCompress"/>
  <w:compat/>
  <w:rsids>
    <w:rsidRoot w:val="005D0A5D"/>
    <w:rsid w:val="001A6B0D"/>
    <w:rsid w:val="005D0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A5D"/>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72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835</Words>
  <Characters>4766</Characters>
  <Application>Microsoft Office Word</Application>
  <DocSecurity>0</DocSecurity>
  <Lines>39</Lines>
  <Paragraphs>11</Paragraphs>
  <ScaleCrop>false</ScaleCrop>
  <Company>FINAM</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Danglichaninov</dc:creator>
  <cp:keywords/>
  <dc:description/>
  <cp:lastModifiedBy>Danglichaninov</cp:lastModifiedBy>
  <cp:revision>2</cp:revision>
  <dcterms:created xsi:type="dcterms:W3CDTF">2011-11-14T10:20:00Z</dcterms:created>
  <dcterms:modified xsi:type="dcterms:W3CDTF">2011-11-14T10:20:00Z</dcterms:modified>
</cp:coreProperties>
</file>