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90B" w:rsidRDefault="00AC290B" w:rsidP="00AC290B">
      <w:pPr>
        <w:ind w:left="-709"/>
      </w:pPr>
    </w:p>
    <w:tbl>
      <w:tblPr>
        <w:tblW w:w="10512" w:type="dxa"/>
        <w:tblCellSpacing w:w="0" w:type="dxa"/>
        <w:tblCellMar>
          <w:left w:w="0" w:type="dxa"/>
          <w:right w:w="0" w:type="dxa"/>
        </w:tblCellMar>
        <w:tblLook w:val="04A0"/>
      </w:tblPr>
      <w:tblGrid>
        <w:gridCol w:w="6"/>
        <w:gridCol w:w="10500"/>
        <w:gridCol w:w="6"/>
      </w:tblGrid>
      <w:tr w:rsidR="00AC290B" w:rsidTr="00AC290B">
        <w:trPr>
          <w:tblCellSpacing w:w="0" w:type="dxa"/>
        </w:trPr>
        <w:tc>
          <w:tcPr>
            <w:tcW w:w="0" w:type="auto"/>
            <w:vAlign w:val="center"/>
            <w:hideMark/>
          </w:tcPr>
          <w:p w:rsidR="00AC290B" w:rsidRDefault="00AC290B">
            <w:pPr>
              <w:rPr>
                <w:rFonts w:asciiTheme="minorHAnsi" w:eastAsiaTheme="minorEastAsia" w:hAnsiTheme="minorHAnsi" w:cstheme="minorBidi"/>
                <w:sz w:val="22"/>
                <w:szCs w:val="22"/>
              </w:rPr>
            </w:pPr>
          </w:p>
        </w:tc>
        <w:tc>
          <w:tcPr>
            <w:tcW w:w="0" w:type="auto"/>
            <w:vAlign w:val="center"/>
            <w:hideMark/>
          </w:tcPr>
          <w:tbl>
            <w:tblPr>
              <w:tblW w:w="10500" w:type="dxa"/>
              <w:tblCellSpacing w:w="0" w:type="dxa"/>
              <w:tblCellMar>
                <w:left w:w="0" w:type="dxa"/>
                <w:right w:w="0" w:type="dxa"/>
              </w:tblCellMar>
              <w:tblLook w:val="04A0"/>
            </w:tblPr>
            <w:tblGrid>
              <w:gridCol w:w="10500"/>
            </w:tblGrid>
            <w:tr w:rsidR="00AC290B">
              <w:trPr>
                <w:tblCellSpacing w:w="0" w:type="dxa"/>
              </w:trPr>
              <w:tc>
                <w:tcPr>
                  <w:tcW w:w="0" w:type="auto"/>
                  <w:vAlign w:val="center"/>
                  <w:hideMark/>
                </w:tcPr>
                <w:p w:rsidR="00AC290B" w:rsidRDefault="00AC290B">
                  <w:pPr>
                    <w:rPr>
                      <w:rFonts w:ascii="Calibri" w:hAnsi="Calibri"/>
                      <w:sz w:val="22"/>
                      <w:szCs w:val="22"/>
                    </w:rPr>
                  </w:pPr>
                  <w:r>
                    <w:rPr>
                      <w:rFonts w:ascii="Calibri" w:hAnsi="Calibri"/>
                      <w:noProof/>
                      <w:color w:val="1F497D"/>
                      <w:sz w:val="22"/>
                      <w:szCs w:val="22"/>
                    </w:rPr>
                    <w:drawing>
                      <wp:inline distT="0" distB="0" distL="0" distR="0">
                        <wp:extent cx="5739351" cy="1821180"/>
                        <wp:effectExtent l="19050" t="0" r="0" b="0"/>
                        <wp:docPr id="1" name="Рисунок 1" descr="cid:image001.jpg@01CE7F0D.5D52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7F0D.5D522510"/>
                                <pic:cNvPicPr>
                                  <a:picLocks noChangeAspect="1" noChangeArrowheads="1"/>
                                </pic:cNvPicPr>
                              </pic:nvPicPr>
                              <pic:blipFill>
                                <a:blip r:embed="rId4" r:link="rId5" cstate="print"/>
                                <a:srcRect/>
                                <a:stretch>
                                  <a:fillRect/>
                                </a:stretch>
                              </pic:blipFill>
                              <pic:spPr bwMode="auto">
                                <a:xfrm>
                                  <a:off x="0" y="0"/>
                                  <a:ext cx="5751735" cy="1825110"/>
                                </a:xfrm>
                                <a:prstGeom prst="rect">
                                  <a:avLst/>
                                </a:prstGeom>
                                <a:noFill/>
                                <a:ln w="9525">
                                  <a:noFill/>
                                  <a:miter lim="800000"/>
                                  <a:headEnd/>
                                  <a:tailEnd/>
                                </a:ln>
                              </pic:spPr>
                            </pic:pic>
                          </a:graphicData>
                        </a:graphic>
                      </wp:inline>
                    </w:drawing>
                  </w:r>
                </w:p>
              </w:tc>
            </w:tr>
            <w:tr w:rsidR="00AC290B">
              <w:trPr>
                <w:tblCellSpacing w:w="0" w:type="dxa"/>
              </w:trPr>
              <w:tc>
                <w:tcPr>
                  <w:tcW w:w="0" w:type="auto"/>
                  <w:shd w:val="clear" w:color="auto" w:fill="F5F5F5"/>
                  <w:vAlign w:val="center"/>
                  <w:hideMark/>
                </w:tcPr>
                <w:tbl>
                  <w:tblPr>
                    <w:tblW w:w="5000" w:type="pct"/>
                    <w:tblCellSpacing w:w="0" w:type="dxa"/>
                    <w:tblCellMar>
                      <w:left w:w="0" w:type="dxa"/>
                      <w:right w:w="0" w:type="dxa"/>
                    </w:tblCellMar>
                    <w:tblLook w:val="04A0"/>
                  </w:tblPr>
                  <w:tblGrid>
                    <w:gridCol w:w="407"/>
                    <w:gridCol w:w="10087"/>
                    <w:gridCol w:w="6"/>
                  </w:tblGrid>
                  <w:tr w:rsidR="00AC290B">
                    <w:trPr>
                      <w:trHeight w:val="150"/>
                      <w:tblCellSpacing w:w="0" w:type="dxa"/>
                    </w:trPr>
                    <w:tc>
                      <w:tcPr>
                        <w:tcW w:w="408" w:type="dxa"/>
                        <w:shd w:val="clear" w:color="auto" w:fill="FFFFFF"/>
                        <w:vAlign w:val="center"/>
                        <w:hideMark/>
                      </w:tcPr>
                      <w:p w:rsidR="00AC290B" w:rsidRDefault="00AC290B">
                        <w:pPr>
                          <w:rPr>
                            <w:rFonts w:asciiTheme="minorHAnsi" w:eastAsiaTheme="minorEastAsia" w:hAnsiTheme="minorHAnsi" w:cstheme="minorBidi"/>
                            <w:sz w:val="22"/>
                            <w:szCs w:val="22"/>
                          </w:rPr>
                        </w:pPr>
                      </w:p>
                    </w:tc>
                    <w:tc>
                      <w:tcPr>
                        <w:tcW w:w="10101" w:type="dxa"/>
                        <w:shd w:val="clear" w:color="auto" w:fill="FFFFFF"/>
                        <w:vAlign w:val="center"/>
                        <w:hideMark/>
                      </w:tcPr>
                      <w:p w:rsidR="00AC290B" w:rsidRDefault="00AC290B">
                        <w:pPr>
                          <w:rPr>
                            <w:rFonts w:asciiTheme="minorHAnsi" w:eastAsiaTheme="minorEastAsia" w:hAnsiTheme="minorHAnsi" w:cstheme="minorBidi"/>
                            <w:sz w:val="22"/>
                            <w:szCs w:val="22"/>
                          </w:rPr>
                        </w:pPr>
                      </w:p>
                    </w:tc>
                    <w:tc>
                      <w:tcPr>
                        <w:tcW w:w="6" w:type="dxa"/>
                        <w:shd w:val="clear" w:color="auto" w:fill="FFFFFF"/>
                        <w:vAlign w:val="center"/>
                        <w:hideMark/>
                      </w:tcPr>
                      <w:p w:rsidR="00AC290B" w:rsidRDefault="00AC290B">
                        <w:pPr>
                          <w:rPr>
                            <w:rFonts w:asciiTheme="minorHAnsi" w:eastAsiaTheme="minorEastAsia" w:hAnsiTheme="minorHAnsi" w:cstheme="minorBidi"/>
                            <w:sz w:val="22"/>
                            <w:szCs w:val="22"/>
                          </w:rPr>
                        </w:pPr>
                      </w:p>
                    </w:tc>
                  </w:tr>
                  <w:tr w:rsidR="00AC290B">
                    <w:trPr>
                      <w:trHeight w:val="420"/>
                      <w:tblCellSpacing w:w="0" w:type="dxa"/>
                    </w:trPr>
                    <w:tc>
                      <w:tcPr>
                        <w:tcW w:w="408" w:type="dxa"/>
                        <w:vAlign w:val="center"/>
                        <w:hideMark/>
                      </w:tcPr>
                      <w:p w:rsidR="00AC290B" w:rsidRDefault="00AC290B">
                        <w:pPr>
                          <w:rPr>
                            <w:rFonts w:ascii="Calibri" w:hAnsi="Calibri"/>
                            <w:sz w:val="22"/>
                            <w:szCs w:val="22"/>
                          </w:rPr>
                        </w:pPr>
                        <w:r>
                          <w:rPr>
                            <w:rFonts w:ascii="Calibri" w:hAnsi="Calibri"/>
                            <w:sz w:val="22"/>
                            <w:szCs w:val="22"/>
                          </w:rPr>
                          <w:t> </w:t>
                        </w:r>
                      </w:p>
                    </w:tc>
                    <w:tc>
                      <w:tcPr>
                        <w:tcW w:w="10101" w:type="dxa"/>
                        <w:vAlign w:val="center"/>
                        <w:hideMark/>
                      </w:tcPr>
                      <w:p w:rsidR="00AC290B" w:rsidRDefault="00AC290B">
                        <w:pPr>
                          <w:rPr>
                            <w:rFonts w:asciiTheme="minorHAnsi" w:eastAsiaTheme="minorEastAsia" w:hAnsiTheme="minorHAnsi" w:cstheme="minorBidi"/>
                            <w:sz w:val="22"/>
                            <w:szCs w:val="22"/>
                          </w:rPr>
                        </w:pPr>
                      </w:p>
                    </w:tc>
                    <w:tc>
                      <w:tcPr>
                        <w:tcW w:w="6" w:type="dxa"/>
                        <w:vAlign w:val="center"/>
                        <w:hideMark/>
                      </w:tcPr>
                      <w:p w:rsidR="00AC290B" w:rsidRDefault="00AC290B">
                        <w:pPr>
                          <w:rPr>
                            <w:rFonts w:asciiTheme="minorHAnsi" w:eastAsiaTheme="minorEastAsia" w:hAnsiTheme="minorHAnsi" w:cstheme="minorBidi"/>
                            <w:sz w:val="22"/>
                            <w:szCs w:val="22"/>
                          </w:rPr>
                        </w:pPr>
                      </w:p>
                    </w:tc>
                  </w:tr>
                  <w:tr w:rsidR="00AC290B">
                    <w:trPr>
                      <w:tblCellSpacing w:w="0" w:type="dxa"/>
                    </w:trPr>
                    <w:tc>
                      <w:tcPr>
                        <w:tcW w:w="408" w:type="dxa"/>
                        <w:vAlign w:val="center"/>
                        <w:hideMark/>
                      </w:tcPr>
                      <w:p w:rsidR="00AC290B" w:rsidRDefault="00AC290B">
                        <w:pPr>
                          <w:rPr>
                            <w:rFonts w:asciiTheme="minorHAnsi" w:eastAsiaTheme="minorEastAsia" w:hAnsiTheme="minorHAnsi" w:cstheme="minorBidi"/>
                            <w:sz w:val="22"/>
                            <w:szCs w:val="22"/>
                          </w:rPr>
                        </w:pPr>
                      </w:p>
                    </w:tc>
                    <w:tc>
                      <w:tcPr>
                        <w:tcW w:w="10101" w:type="dxa"/>
                        <w:vAlign w:val="center"/>
                        <w:hideMark/>
                      </w:tcPr>
                      <w:p w:rsidR="00AC290B" w:rsidRDefault="00AC290B">
                        <w:pPr>
                          <w:rPr>
                            <w:rFonts w:ascii="Calibri" w:hAnsi="Calibri"/>
                            <w:sz w:val="22"/>
                            <w:szCs w:val="22"/>
                          </w:rPr>
                        </w:pPr>
                        <w:r>
                          <w:rPr>
                            <w:rFonts w:ascii="Calibri" w:hAnsi="Calibri"/>
                            <w:color w:val="1F497D"/>
                            <w:sz w:val="22"/>
                            <w:szCs w:val="22"/>
                          </w:rPr>
                          <w:t> </w:t>
                        </w:r>
                      </w:p>
                      <w:tbl>
                        <w:tblPr>
                          <w:tblW w:w="5000" w:type="pct"/>
                          <w:tblCellSpacing w:w="0" w:type="dxa"/>
                          <w:tblCellMar>
                            <w:left w:w="0" w:type="dxa"/>
                            <w:right w:w="0" w:type="dxa"/>
                          </w:tblCellMar>
                          <w:tblLook w:val="04A0"/>
                        </w:tblPr>
                        <w:tblGrid>
                          <w:gridCol w:w="9487"/>
                          <w:gridCol w:w="600"/>
                        </w:tblGrid>
                        <w:tr w:rsidR="00AC290B">
                          <w:trPr>
                            <w:tblCellSpacing w:w="0" w:type="dxa"/>
                          </w:trPr>
                          <w:tc>
                            <w:tcPr>
                              <w:tcW w:w="0" w:type="auto"/>
                              <w:vAlign w:val="center"/>
                            </w:tcPr>
                            <w:p w:rsidR="00AC290B" w:rsidRDefault="00AC290B">
                              <w:pPr>
                                <w:rPr>
                                  <w:rFonts w:ascii="Calibri" w:hAnsi="Calibri"/>
                                  <w:sz w:val="22"/>
                                  <w:szCs w:val="22"/>
                                </w:rPr>
                              </w:pPr>
                              <w:r>
                                <w:rPr>
                                  <w:rFonts w:ascii="Calibri" w:hAnsi="Calibri"/>
                                  <w:b/>
                                  <w:bCs/>
                                  <w:sz w:val="36"/>
                                  <w:szCs w:val="36"/>
                                </w:rPr>
                                <w:t>Рынок акций</w:t>
                              </w:r>
                            </w:p>
                            <w:p w:rsidR="00AC290B" w:rsidRDefault="00AC290B">
                              <w:pPr>
                                <w:rPr>
                                  <w:rFonts w:ascii="Calibri" w:hAnsi="Calibri"/>
                                  <w:sz w:val="22"/>
                                  <w:szCs w:val="22"/>
                                </w:rPr>
                              </w:pPr>
                              <w:r>
                                <w:rPr>
                                  <w:rFonts w:ascii="Calibri" w:hAnsi="Calibri"/>
                                  <w:sz w:val="22"/>
                                  <w:szCs w:val="22"/>
                                </w:rPr>
                                <w:t> </w:t>
                              </w:r>
                            </w:p>
                            <w:p w:rsidR="00AC290B" w:rsidRDefault="00AC290B">
                              <w:pPr>
                                <w:spacing w:after="240"/>
                                <w:rPr>
                                  <w:rFonts w:ascii="Calibri" w:hAnsi="Calibri"/>
                                  <w:sz w:val="22"/>
                                  <w:szCs w:val="22"/>
                                </w:rPr>
                              </w:pPr>
                              <w:r>
                                <w:rPr>
                                  <w:noProof/>
                                </w:rPr>
                                <w:drawing>
                                  <wp:inline distT="0" distB="0" distL="0" distR="0">
                                    <wp:extent cx="1188720" cy="1188720"/>
                                    <wp:effectExtent l="19050" t="0" r="0" b="0"/>
                                    <wp:docPr id="2" name="Рисунок 2"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E7D8D.1A6B3F60"/>
                                            <pic:cNvPicPr>
                                              <a:picLocks noChangeAspect="1" noChangeArrowheads="1"/>
                                            </pic:cNvPicPr>
                                          </pic:nvPicPr>
                                          <pic:blipFill>
                                            <a:blip r:embed="rId6" r:link="rId7" cstate="print"/>
                                            <a:srcRect/>
                                            <a:stretch>
                                              <a:fillRect/>
                                            </a:stretch>
                                          </pic:blipFill>
                                          <pic:spPr bwMode="auto">
                                            <a:xfrm>
                                              <a:off x="0" y="0"/>
                                              <a:ext cx="1188720" cy="1188720"/>
                                            </a:xfrm>
                                            <a:prstGeom prst="rect">
                                              <a:avLst/>
                                            </a:prstGeom>
                                            <a:noFill/>
                                            <a:ln w="9525">
                                              <a:noFill/>
                                              <a:miter lim="800000"/>
                                              <a:headEnd/>
                                              <a:tailEnd/>
                                            </a:ln>
                                          </pic:spPr>
                                        </pic:pic>
                                      </a:graphicData>
                                    </a:graphic>
                                  </wp:inline>
                                </w:drawing>
                              </w:r>
                            </w:p>
                            <w:p w:rsidR="00AC290B" w:rsidRDefault="00AC290B">
                              <w:pPr>
                                <w:rPr>
                                  <w:rFonts w:ascii="Calibri" w:hAnsi="Calibri"/>
                                  <w:b/>
                                  <w:bCs/>
                                  <w:sz w:val="28"/>
                                  <w:szCs w:val="28"/>
                                </w:rPr>
                              </w:pPr>
                              <w:r>
                                <w:rPr>
                                  <w:rFonts w:ascii="Calibri" w:hAnsi="Calibri"/>
                                  <w:b/>
                                  <w:bCs/>
                                  <w:sz w:val="28"/>
                                  <w:szCs w:val="28"/>
                                </w:rPr>
                                <w:t>Владимир Брагин,</w:t>
                              </w:r>
                              <w:r>
                                <w:rPr>
                                  <w:rFonts w:ascii="Calibri" w:hAnsi="Calibri"/>
                                  <w:b/>
                                  <w:bCs/>
                                  <w:sz w:val="28"/>
                                  <w:szCs w:val="28"/>
                                </w:rPr>
                                <w:br/>
                              </w:r>
                              <w:r>
                                <w:rPr>
                                  <w:rFonts w:ascii="Calibri" w:hAnsi="Calibri"/>
                                  <w:b/>
                                  <w:bCs/>
                                  <w:color w:val="FF0000"/>
                                  <w:sz w:val="28"/>
                                  <w:szCs w:val="28"/>
                                </w:rPr>
                                <w:t>директор по анализу финансовых рынков</w:t>
                              </w:r>
                              <w:r>
                                <w:rPr>
                                  <w:rFonts w:ascii="Calibri" w:hAnsi="Calibri"/>
                                  <w:b/>
                                  <w:bCs/>
                                  <w:color w:val="FF0000"/>
                                  <w:sz w:val="28"/>
                                  <w:szCs w:val="28"/>
                                </w:rPr>
                                <w:br/>
                                <w:t>и макроэкономики УК «Альфа-Капитал»</w:t>
                              </w:r>
                            </w:p>
                            <w:p w:rsidR="00AC290B" w:rsidRDefault="00AC290B">
                              <w:pPr>
                                <w:rPr>
                                  <w:rFonts w:ascii="Calibri" w:hAnsi="Calibri"/>
                                  <w:b/>
                                  <w:bCs/>
                                  <w:color w:val="1F497D"/>
                                  <w:sz w:val="22"/>
                                  <w:szCs w:val="22"/>
                                </w:rPr>
                              </w:pPr>
                            </w:p>
                            <w:p w:rsidR="00AC290B" w:rsidRDefault="00AC290B">
                              <w:pPr>
                                <w:rPr>
                                  <w:rFonts w:ascii="Calibri" w:hAnsi="Calibri"/>
                                </w:rPr>
                              </w:pPr>
                              <w:r>
                                <w:rPr>
                                  <w:rFonts w:ascii="Calibri" w:hAnsi="Calibri"/>
                                </w:rPr>
                                <w:t>Хотя украинский фактор практически полностью заложен в ценах российских ценных бумаг, последние события показали, что здесь могут быть сюрпризы, причем неприятные для рынка. Пока, к счастью, российский рынок довольно сдержанно реагирует на обострение отношений.</w:t>
                              </w:r>
                            </w:p>
                            <w:p w:rsidR="00AC290B" w:rsidRDefault="00AC290B">
                              <w:pPr>
                                <w:rPr>
                                  <w:rFonts w:ascii="Calibri" w:hAnsi="Calibri"/>
                                </w:rPr>
                              </w:pPr>
                              <w:r>
                                <w:rPr>
                                  <w:rFonts w:ascii="Calibri" w:hAnsi="Calibri"/>
                                </w:rPr>
                                <w:t>Впрочем, на передний план выходят корпоративные отчеты компаний США за II квартал. Пока то, что вышло, находится в рамках прогноза или даже лучше него, что оказывает поддержку рынку. Но наиболее важные отчеты выйдут на этой и на следующей неделе, в частности ряда крупных банков и компании IT-сектора. Важно даже не то, как отчитается каждая отдельная компания, а то, удастся ли корпоративному сектору в целом удержать рентабельность на рекордно высоких уровнях, доказав, что падение прибыли корпораций, наблюдавшееся в I квартале, – это просто разовое событие.</w:t>
                              </w:r>
                            </w:p>
                            <w:p w:rsidR="00AC290B" w:rsidRDefault="00AC290B">
                              <w:pPr>
                                <w:rPr>
                                  <w:rFonts w:ascii="Calibri" w:hAnsi="Calibri"/>
                                </w:rPr>
                              </w:pPr>
                              <w:r>
                                <w:rPr>
                                  <w:rFonts w:ascii="Calibri" w:hAnsi="Calibri"/>
                                </w:rPr>
                                <w:t>Кроме того, выйдет блок важной статистики: в США будут обнародованы июньские данные по динамике розничных продаж, промышленному производству и данных по объему строительства новых домов. В еврозоне выйдут июньские данные по инфляции. На развивающихся рынках в центре внимания статистика из Китая – динамика ВВП за II квартал и июньские данные по розничным продажам.</w:t>
                              </w:r>
                            </w:p>
                            <w:p w:rsidR="00AC290B" w:rsidRDefault="00AC290B">
                              <w:pPr>
                                <w:rPr>
                                  <w:rFonts w:ascii="Calibri" w:hAnsi="Calibri"/>
                                </w:rPr>
                              </w:pPr>
                              <w:r>
                                <w:rPr>
                                  <w:rFonts w:ascii="Calibri" w:hAnsi="Calibri"/>
                                </w:rPr>
                                <w:t>Мы ожидаем, что неделя на рынках будет довольно спокойной, несмотря на большой объем новостей с развитых рынков. Но учитывая существующие риски, мы по-прежнему рекомендуем придерживаться консервативной стратегии в рублевых активах, покупая надежные ценные бумаги, например дивидендные истории в нефтегазовом секторе и ряда других компаний-экспортеров.</w:t>
                              </w:r>
                            </w:p>
                            <w:p w:rsidR="00AC290B" w:rsidRDefault="00AC290B">
                              <w:pPr>
                                <w:rPr>
                                  <w:rFonts w:ascii="Calibri" w:hAnsi="Calibri"/>
                                  <w:sz w:val="22"/>
                                  <w:szCs w:val="22"/>
                                </w:rPr>
                              </w:pPr>
                            </w:p>
                            <w:p w:rsidR="00AC290B" w:rsidRDefault="00AC290B">
                              <w:pPr>
                                <w:rPr>
                                  <w:rFonts w:ascii="Calibri" w:hAnsi="Calibri"/>
                                  <w:sz w:val="22"/>
                                  <w:szCs w:val="22"/>
                                </w:rPr>
                              </w:pPr>
                              <w:r>
                                <w:rPr>
                                  <w:rFonts w:ascii="Calibri" w:hAnsi="Calibri"/>
                                  <w:sz w:val="22"/>
                                  <w:szCs w:val="22"/>
                                </w:rPr>
                                <w:lastRenderedPageBreak/>
                                <w:t> </w:t>
                              </w:r>
                            </w:p>
                            <w:p w:rsidR="00AC290B" w:rsidRDefault="00AC290B">
                              <w:pPr>
                                <w:rPr>
                                  <w:rFonts w:ascii="Calibri" w:hAnsi="Calibri"/>
                                  <w:sz w:val="22"/>
                                  <w:szCs w:val="22"/>
                                </w:rPr>
                              </w:pPr>
                            </w:p>
                            <w:p w:rsidR="00AC290B" w:rsidRDefault="00AC290B">
                              <w:pPr>
                                <w:rPr>
                                  <w:rFonts w:ascii="Calibri" w:hAnsi="Calibri"/>
                                  <w:sz w:val="22"/>
                                  <w:szCs w:val="22"/>
                                </w:rPr>
                              </w:pPr>
                              <w:r>
                                <w:rPr>
                                  <w:rFonts w:ascii="Calibri" w:hAnsi="Calibri"/>
                                  <w:b/>
                                  <w:bCs/>
                                  <w:sz w:val="36"/>
                                  <w:szCs w:val="36"/>
                                </w:rPr>
                                <w:t>Рынок облигаций</w:t>
                              </w:r>
                            </w:p>
                            <w:p w:rsidR="00AC290B" w:rsidRDefault="00AC290B">
                              <w:pPr>
                                <w:spacing w:after="240"/>
                                <w:rPr>
                                  <w:rFonts w:ascii="Calibri" w:hAnsi="Calibri"/>
                                  <w:sz w:val="22"/>
                                  <w:szCs w:val="22"/>
                                </w:rPr>
                              </w:pPr>
                              <w:r>
                                <w:rPr>
                                  <w:rFonts w:ascii="Calibri" w:hAnsi="Calibri"/>
                                  <w:noProof/>
                                  <w:sz w:val="22"/>
                                  <w:szCs w:val="22"/>
                                </w:rPr>
                                <w:drawing>
                                  <wp:inline distT="0" distB="0" distL="0" distR="0">
                                    <wp:extent cx="1188720" cy="1188720"/>
                                    <wp:effectExtent l="19050" t="0" r="0" b="0"/>
                                    <wp:docPr id="3" name="Рисунок 3" descr="cid:image004.jpg@01CE7BFE.B94C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CE7BFE.B94C5460"/>
                                            <pic:cNvPicPr>
                                              <a:picLocks noChangeAspect="1" noChangeArrowheads="1"/>
                                            </pic:cNvPicPr>
                                          </pic:nvPicPr>
                                          <pic:blipFill>
                                            <a:blip r:embed="rId8" r:link="rId9" cstate="print"/>
                                            <a:srcRect/>
                                            <a:stretch>
                                              <a:fillRect/>
                                            </a:stretch>
                                          </pic:blipFill>
                                          <pic:spPr bwMode="auto">
                                            <a:xfrm>
                                              <a:off x="0" y="0"/>
                                              <a:ext cx="1188720" cy="1188720"/>
                                            </a:xfrm>
                                            <a:prstGeom prst="rect">
                                              <a:avLst/>
                                            </a:prstGeom>
                                            <a:noFill/>
                                            <a:ln w="9525">
                                              <a:noFill/>
                                              <a:miter lim="800000"/>
                                              <a:headEnd/>
                                              <a:tailEnd/>
                                            </a:ln>
                                          </pic:spPr>
                                        </pic:pic>
                                      </a:graphicData>
                                    </a:graphic>
                                  </wp:inline>
                                </w:drawing>
                              </w:r>
                            </w:p>
                            <w:p w:rsidR="00AC290B" w:rsidRDefault="00AC290B">
                              <w:pPr>
                                <w:rPr>
                                  <w:rFonts w:ascii="Calibri" w:hAnsi="Calibri"/>
                                  <w:b/>
                                  <w:bCs/>
                                  <w:sz w:val="28"/>
                                  <w:szCs w:val="28"/>
                                </w:rPr>
                              </w:pPr>
                              <w:r>
                                <w:rPr>
                                  <w:rFonts w:ascii="Calibri" w:hAnsi="Calibri"/>
                                  <w:b/>
                                  <w:bCs/>
                                  <w:sz w:val="28"/>
                                  <w:szCs w:val="28"/>
                                </w:rPr>
                                <w:t xml:space="preserve">Алексей </w:t>
                              </w:r>
                              <w:proofErr w:type="spellStart"/>
                              <w:r>
                                <w:rPr>
                                  <w:rFonts w:ascii="Calibri" w:hAnsi="Calibri"/>
                                  <w:b/>
                                  <w:bCs/>
                                  <w:sz w:val="28"/>
                                  <w:szCs w:val="28"/>
                                </w:rPr>
                                <w:t>Губин</w:t>
                              </w:r>
                              <w:proofErr w:type="spellEnd"/>
                              <w:r>
                                <w:rPr>
                                  <w:rFonts w:ascii="Calibri" w:hAnsi="Calibri"/>
                                  <w:b/>
                                  <w:bCs/>
                                  <w:sz w:val="28"/>
                                  <w:szCs w:val="28"/>
                                </w:rPr>
                                <w:t>, </w:t>
                              </w:r>
                              <w:r>
                                <w:rPr>
                                  <w:rFonts w:ascii="Calibri" w:hAnsi="Calibri"/>
                                  <w:b/>
                                  <w:bCs/>
                                  <w:sz w:val="28"/>
                                  <w:szCs w:val="28"/>
                                </w:rPr>
                                <w:br/>
                              </w:r>
                              <w:r>
                                <w:rPr>
                                  <w:rFonts w:ascii="Calibri" w:hAnsi="Calibri"/>
                                  <w:b/>
                                  <w:bCs/>
                                  <w:color w:val="FF0000"/>
                                  <w:sz w:val="28"/>
                                  <w:szCs w:val="28"/>
                                </w:rPr>
                                <w:t>аналитик УК «Альфа-Капитал»</w:t>
                              </w:r>
                            </w:p>
                            <w:p w:rsidR="00AC290B" w:rsidRDefault="00AC290B">
                              <w:pPr>
                                <w:rPr>
                                  <w:rFonts w:ascii="Calibri" w:hAnsi="Calibri"/>
                                  <w:color w:val="1F497D"/>
                                  <w:sz w:val="22"/>
                                  <w:szCs w:val="22"/>
                                </w:rPr>
                              </w:pPr>
                            </w:p>
                            <w:p w:rsidR="00AC290B" w:rsidRDefault="00AC290B">
                              <w:pPr>
                                <w:pStyle w:val="a8"/>
                                <w:rPr>
                                  <w:rFonts w:ascii="Calibri" w:hAnsi="Calibri"/>
                                  <w:sz w:val="32"/>
                                  <w:szCs w:val="32"/>
                                </w:rPr>
                              </w:pPr>
                              <w:r>
                                <w:rPr>
                                  <w:rFonts w:ascii="Calibri" w:hAnsi="Calibri"/>
                                  <w:sz w:val="32"/>
                                  <w:szCs w:val="32"/>
                                </w:rPr>
                                <w:t>Рублевые облигации</w:t>
                              </w:r>
                            </w:p>
                            <w:p w:rsidR="00AC290B" w:rsidRDefault="00AC290B">
                              <w:pPr>
                                <w:pStyle w:val="a5"/>
                                <w:rPr>
                                  <w:rFonts w:ascii="Calibri" w:hAnsi="Calibri"/>
                                  <w:sz w:val="24"/>
                                  <w:szCs w:val="24"/>
                                </w:rPr>
                              </w:pPr>
                              <w:r>
                                <w:rPr>
                                  <w:rFonts w:ascii="Calibri" w:hAnsi="Calibri"/>
                                  <w:sz w:val="24"/>
                                  <w:szCs w:val="24"/>
                                </w:rPr>
                                <w:t xml:space="preserve">На прошлой неделе мы увидели стабилизацию рынка рублевых облигаций. Причем госбумаги скорее снижались, а новые корпоративные и субфедеральные выпуски торговались либо в боковике, либо в небольшом плюсе. Цена </w:t>
                              </w:r>
                              <w:r>
                                <w:rPr>
                                  <w:rFonts w:ascii="Calibri" w:hAnsi="Calibri"/>
                                  <w:b/>
                                  <w:bCs/>
                                  <w:sz w:val="24"/>
                                  <w:szCs w:val="24"/>
                                </w:rPr>
                                <w:t>ОФЗ 26207</w:t>
                              </w:r>
                              <w:r>
                                <w:rPr>
                                  <w:rFonts w:ascii="Calibri" w:hAnsi="Calibri"/>
                                  <w:sz w:val="24"/>
                                  <w:szCs w:val="24"/>
                                </w:rPr>
                                <w:t xml:space="preserve"> упала где-то на 1,5%, а ее доходность достигла уровня 8,7% годовых по сравнению с 8,5% неделей ранее.</w:t>
                              </w:r>
                            </w:p>
                            <w:p w:rsidR="00AC290B" w:rsidRDefault="00AC290B">
                              <w:pPr>
                                <w:pStyle w:val="a5"/>
                                <w:rPr>
                                  <w:rFonts w:ascii="Calibri" w:hAnsi="Calibri"/>
                                  <w:sz w:val="24"/>
                                  <w:szCs w:val="24"/>
                                </w:rPr>
                              </w:pPr>
                              <w:r>
                                <w:rPr>
                                  <w:rFonts w:ascii="Calibri" w:hAnsi="Calibri"/>
                                  <w:sz w:val="24"/>
                                  <w:szCs w:val="24"/>
                                </w:rPr>
                                <w:t xml:space="preserve">В настоящий момент рынок практически безыдейный. Основные ожидания все-таки относятся к более среднесрочному периоду. Так, во-первых, ожидание снижения инфляции, а во-вторых, ожидания прихода в </w:t>
                              </w:r>
                              <w:r>
                                <w:rPr>
                                  <w:rFonts w:ascii="Calibri" w:hAnsi="Calibri"/>
                                  <w:sz w:val="24"/>
                                  <w:szCs w:val="24"/>
                                  <w:lang w:val="en-US"/>
                                </w:rPr>
                                <w:t>I</w:t>
                              </w:r>
                              <w:r>
                                <w:rPr>
                                  <w:rFonts w:ascii="Calibri" w:hAnsi="Calibri"/>
                                  <w:sz w:val="24"/>
                                  <w:szCs w:val="24"/>
                                </w:rPr>
                                <w:t xml:space="preserve"> квартале 2015 года порядка </w:t>
                              </w:r>
                              <w:proofErr w:type="spellStart"/>
                              <w:r>
                                <w:rPr>
                                  <w:rFonts w:ascii="Calibri" w:hAnsi="Calibri"/>
                                  <w:sz w:val="24"/>
                                  <w:szCs w:val="24"/>
                                </w:rPr>
                                <w:t>полутриллиона</w:t>
                              </w:r>
                              <w:proofErr w:type="spellEnd"/>
                              <w:r>
                                <w:rPr>
                                  <w:rFonts w:ascii="Calibri" w:hAnsi="Calibri"/>
                                  <w:sz w:val="24"/>
                                  <w:szCs w:val="24"/>
                                </w:rPr>
                                <w:t xml:space="preserve"> рублей пенсионных денег позволяют дать рекомендацию на формирование средн</w:t>
                              </w:r>
                              <w:proofErr w:type="gramStart"/>
                              <w:r>
                                <w:rPr>
                                  <w:rFonts w:ascii="Calibri" w:hAnsi="Calibri"/>
                                  <w:sz w:val="24"/>
                                  <w:szCs w:val="24"/>
                                </w:rPr>
                                <w:t>е-</w:t>
                              </w:r>
                              <w:proofErr w:type="gramEnd"/>
                              <w:r>
                                <w:rPr>
                                  <w:rFonts w:ascii="Calibri" w:hAnsi="Calibri"/>
                                  <w:sz w:val="24"/>
                                  <w:szCs w:val="24"/>
                                </w:rPr>
                                <w:t xml:space="preserve">/долгосрочного портфеля облигаций, с включением в его состав новых субфедеральных бумаг, </w:t>
                              </w:r>
                              <w:r>
                                <w:rPr>
                                  <w:rFonts w:ascii="Calibri" w:hAnsi="Calibri"/>
                                  <w:b/>
                                  <w:bCs/>
                                  <w:sz w:val="24"/>
                                  <w:szCs w:val="24"/>
                                </w:rPr>
                                <w:t>ОФЗ</w:t>
                              </w:r>
                              <w:r>
                                <w:rPr>
                                  <w:rFonts w:ascii="Calibri" w:hAnsi="Calibri"/>
                                  <w:sz w:val="24"/>
                                  <w:szCs w:val="24"/>
                                </w:rPr>
                                <w:t>, а также качественных бумаг «второго эшелона», подходящих по критерии инвестирования средств пенсионных накоплений.</w:t>
                              </w:r>
                            </w:p>
                            <w:p w:rsidR="00AC290B" w:rsidRDefault="00AC290B">
                              <w:pPr>
                                <w:pStyle w:val="a5"/>
                                <w:rPr>
                                  <w:rFonts w:ascii="Calibri" w:hAnsi="Calibri"/>
                                  <w:sz w:val="24"/>
                                  <w:szCs w:val="24"/>
                                </w:rPr>
                              </w:pPr>
                            </w:p>
                            <w:p w:rsidR="00AC290B" w:rsidRDefault="00AC290B">
                              <w:pPr>
                                <w:pStyle w:val="a8"/>
                                <w:rPr>
                                  <w:rFonts w:ascii="Calibri" w:hAnsi="Calibri"/>
                                  <w:sz w:val="32"/>
                                  <w:szCs w:val="32"/>
                                </w:rPr>
                              </w:pPr>
                              <w:r>
                                <w:rPr>
                                  <w:rFonts w:ascii="Calibri" w:hAnsi="Calibri"/>
                                  <w:sz w:val="32"/>
                                  <w:szCs w:val="32"/>
                                </w:rPr>
                                <w:t>Еврооблигации</w:t>
                              </w:r>
                            </w:p>
                            <w:p w:rsidR="00AC290B" w:rsidRDefault="00AC290B">
                              <w:pPr>
                                <w:pStyle w:val="a5"/>
                                <w:rPr>
                                  <w:rFonts w:ascii="Calibri" w:hAnsi="Calibri"/>
                                  <w:sz w:val="24"/>
                                  <w:szCs w:val="24"/>
                                </w:rPr>
                              </w:pPr>
                              <w:r>
                                <w:rPr>
                                  <w:rFonts w:ascii="Calibri" w:hAnsi="Calibri"/>
                                  <w:sz w:val="24"/>
                                  <w:szCs w:val="24"/>
                                </w:rPr>
                                <w:t xml:space="preserve">Суверенный евробонд </w:t>
                              </w:r>
                              <w:r>
                                <w:rPr>
                                  <w:rFonts w:ascii="Calibri" w:hAnsi="Calibri"/>
                                  <w:b/>
                                  <w:bCs/>
                                  <w:sz w:val="24"/>
                                  <w:szCs w:val="24"/>
                                </w:rPr>
                                <w:t>Russia-30</w:t>
                              </w:r>
                              <w:r>
                                <w:rPr>
                                  <w:rFonts w:ascii="Calibri" w:hAnsi="Calibri"/>
                                  <w:sz w:val="24"/>
                                  <w:szCs w:val="24"/>
                                </w:rPr>
                                <w:t xml:space="preserve"> в последнее время торгуется в диапазоне 115–117% от номинала, это те уровни, где он был непосредственно перед тем, как рынки обрушил украинский кризис. При этом ряд ценных бумаг сейчас торгуется даже выше предкризисных уровней, это касается преимущественно длинного конца кривой (</w:t>
                              </w:r>
                              <w:proofErr w:type="spellStart"/>
                              <w:r>
                                <w:rPr>
                                  <w:rFonts w:ascii="Calibri" w:hAnsi="Calibri"/>
                                  <w:sz w:val="24"/>
                                  <w:szCs w:val="24"/>
                                </w:rPr>
                                <w:t>дюрация</w:t>
                              </w:r>
                              <w:proofErr w:type="spellEnd"/>
                              <w:r>
                                <w:rPr>
                                  <w:rFonts w:ascii="Calibri" w:hAnsi="Calibri"/>
                                  <w:sz w:val="24"/>
                                  <w:szCs w:val="24"/>
                                </w:rPr>
                                <w:t xml:space="preserve"> от 7 лет и выше). </w:t>
                              </w:r>
                              <w:r>
                                <w:rPr>
                                  <w:rFonts w:ascii="Calibri" w:hAnsi="Calibri"/>
                                  <w:sz w:val="24"/>
                                  <w:szCs w:val="24"/>
                                </w:rPr>
                                <w:br/>
                                <w:t xml:space="preserve">В то же время короткий сегмент кривой пока обойден вниманием и явно отстал от темпов восстановления рынка в целом. Стоит также обратить внимание на выпуски с погашением в 2017–2019 годах. </w:t>
                              </w:r>
                              <w:proofErr w:type="gramStart"/>
                              <w:r>
                                <w:rPr>
                                  <w:rFonts w:ascii="Calibri" w:hAnsi="Calibri"/>
                                  <w:sz w:val="24"/>
                                  <w:szCs w:val="24"/>
                                </w:rPr>
                                <w:t xml:space="preserve">Также в отстающих находится выпуск облигаций </w:t>
                              </w:r>
                              <w:r>
                                <w:rPr>
                                  <w:rFonts w:ascii="Calibri" w:hAnsi="Calibri"/>
                                  <w:b/>
                                  <w:bCs/>
                                  <w:sz w:val="24"/>
                                  <w:szCs w:val="24"/>
                                  <w:lang w:val="en-US"/>
                                </w:rPr>
                                <w:t>VTB</w:t>
                              </w:r>
                              <w:r w:rsidRPr="00AC290B">
                                <w:rPr>
                                  <w:rFonts w:ascii="Calibri" w:hAnsi="Calibri"/>
                                  <w:b/>
                                  <w:bCs/>
                                  <w:sz w:val="24"/>
                                  <w:szCs w:val="24"/>
                                </w:rPr>
                                <w:t xml:space="preserve"> </w:t>
                              </w:r>
                              <w:proofErr w:type="spellStart"/>
                              <w:r>
                                <w:rPr>
                                  <w:rFonts w:ascii="Calibri" w:hAnsi="Calibri"/>
                                  <w:b/>
                                  <w:bCs/>
                                  <w:sz w:val="24"/>
                                  <w:szCs w:val="24"/>
                                  <w:lang w:val="en-US"/>
                                </w:rPr>
                                <w:t>perp</w:t>
                              </w:r>
                              <w:proofErr w:type="spellEnd"/>
                              <w:r>
                                <w:rPr>
                                  <w:rFonts w:ascii="Calibri" w:hAnsi="Calibri"/>
                                  <w:sz w:val="24"/>
                                  <w:szCs w:val="24"/>
                                </w:rPr>
                                <w:t xml:space="preserve">. </w:t>
                              </w:r>
                              <w:proofErr w:type="gramEnd"/>
                            </w:p>
                            <w:p w:rsidR="00AC290B" w:rsidRDefault="00AC290B">
                              <w:pPr>
                                <w:pStyle w:val="a5"/>
                                <w:rPr>
                                  <w:rFonts w:ascii="Calibri" w:hAnsi="Calibri"/>
                                  <w:sz w:val="24"/>
                                  <w:szCs w:val="24"/>
                                </w:rPr>
                              </w:pPr>
                              <w:r>
                                <w:rPr>
                                  <w:rFonts w:ascii="Calibri" w:hAnsi="Calibri"/>
                                  <w:sz w:val="24"/>
                                  <w:szCs w:val="24"/>
                                </w:rPr>
                                <w:t xml:space="preserve">Мы видим потенциал для снижения доходности по российским еврооблигациям. Это связано с низкой доходностью долговых инструментов развитых стран, заставляющей инвесторов искать более доходные варианты инвестирования. И они готовы брать риск, причем премия на него сокращается. Например, доходность 5-летних облигаций Греции сейчас находится в районе 4,2%. И это при уровне долга к ВВП 175%, а также отсутствии возможности эмитировать собственную валюту. </w:t>
                              </w:r>
                            </w:p>
                            <w:p w:rsidR="00AC290B" w:rsidRDefault="00AC290B">
                              <w:pPr>
                                <w:pStyle w:val="a5"/>
                                <w:rPr>
                                  <w:rFonts w:ascii="Calibri" w:hAnsi="Calibri"/>
                                  <w:sz w:val="24"/>
                                  <w:szCs w:val="24"/>
                                </w:rPr>
                              </w:pPr>
                              <w:r>
                                <w:rPr>
                                  <w:rFonts w:ascii="Calibri" w:hAnsi="Calibri"/>
                                  <w:sz w:val="24"/>
                                  <w:szCs w:val="24"/>
                                </w:rPr>
                                <w:t xml:space="preserve">Дополнительным толчком для инвесторов идти дальше в риск стало недавнее снижение ставок ЕЦБ. И, кстати, в этой связи стоит обратить внимание на выпуски, номинированные в евро. Несмотря на </w:t>
                              </w:r>
                              <w:proofErr w:type="gramStart"/>
                              <w:r>
                                <w:rPr>
                                  <w:rFonts w:ascii="Calibri" w:hAnsi="Calibri"/>
                                  <w:sz w:val="24"/>
                                  <w:szCs w:val="24"/>
                                </w:rPr>
                                <w:t>то</w:t>
                              </w:r>
                              <w:proofErr w:type="gramEnd"/>
                              <w:r>
                                <w:rPr>
                                  <w:rFonts w:ascii="Calibri" w:hAnsi="Calibri"/>
                                  <w:sz w:val="24"/>
                                  <w:szCs w:val="24"/>
                                </w:rPr>
                                <w:t xml:space="preserve"> что доходности по ним ниже, разрыв между ними и долларовыми инструментами еще может увеличиться.</w:t>
                              </w:r>
                            </w:p>
                            <w:p w:rsidR="00AC290B" w:rsidRDefault="00AC290B">
                              <w:pPr>
                                <w:rPr>
                                  <w:rFonts w:ascii="Calibri" w:hAnsi="Calibri"/>
                                </w:rPr>
                              </w:pPr>
                            </w:p>
                            <w:p w:rsidR="00AC290B" w:rsidRDefault="00AC290B">
                              <w:pPr>
                                <w:rPr>
                                  <w:rFonts w:ascii="Calibri" w:hAnsi="Calibri"/>
                                  <w:color w:val="1F497D"/>
                                  <w:sz w:val="22"/>
                                  <w:szCs w:val="22"/>
                                </w:rPr>
                              </w:pPr>
                            </w:p>
                            <w:p w:rsidR="00AC290B" w:rsidRDefault="00AC290B">
                              <w:pPr>
                                <w:rPr>
                                  <w:rFonts w:ascii="Calibri" w:hAnsi="Calibri"/>
                                  <w:sz w:val="22"/>
                                  <w:szCs w:val="22"/>
                                </w:rPr>
                              </w:pPr>
                              <w:r>
                                <w:rPr>
                                  <w:rFonts w:ascii="Calibri" w:hAnsi="Calibri"/>
                                  <w:b/>
                                  <w:bCs/>
                                  <w:sz w:val="36"/>
                                  <w:szCs w:val="36"/>
                                </w:rPr>
                                <w:t>Рынок сырьевых товаров</w:t>
                              </w:r>
                            </w:p>
                            <w:p w:rsidR="00AC290B" w:rsidRDefault="00AC290B">
                              <w:pPr>
                                <w:spacing w:after="240"/>
                                <w:rPr>
                                  <w:rFonts w:ascii="Calibri" w:hAnsi="Calibri"/>
                                  <w:sz w:val="22"/>
                                  <w:szCs w:val="22"/>
                                </w:rPr>
                              </w:pPr>
                              <w:r>
                                <w:rPr>
                                  <w:noProof/>
                                </w:rPr>
                                <w:drawing>
                                  <wp:inline distT="0" distB="0" distL="0" distR="0">
                                    <wp:extent cx="1188720" cy="1188720"/>
                                    <wp:effectExtent l="19050" t="0" r="0" b="0"/>
                                    <wp:docPr id="4" name="Рисунок 4"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CE7D8D.1A6B3F60"/>
                                            <pic:cNvPicPr>
                                              <a:picLocks noChangeAspect="1" noChangeArrowheads="1"/>
                                            </pic:cNvPicPr>
                                          </pic:nvPicPr>
                                          <pic:blipFill>
                                            <a:blip r:embed="rId6" r:link="rId7" cstate="print"/>
                                            <a:srcRect/>
                                            <a:stretch>
                                              <a:fillRect/>
                                            </a:stretch>
                                          </pic:blipFill>
                                          <pic:spPr bwMode="auto">
                                            <a:xfrm>
                                              <a:off x="0" y="0"/>
                                              <a:ext cx="1188720" cy="1188720"/>
                                            </a:xfrm>
                                            <a:prstGeom prst="rect">
                                              <a:avLst/>
                                            </a:prstGeom>
                                            <a:noFill/>
                                            <a:ln w="9525">
                                              <a:noFill/>
                                              <a:miter lim="800000"/>
                                              <a:headEnd/>
                                              <a:tailEnd/>
                                            </a:ln>
                                          </pic:spPr>
                                        </pic:pic>
                                      </a:graphicData>
                                    </a:graphic>
                                  </wp:inline>
                                </w:drawing>
                              </w:r>
                            </w:p>
                            <w:p w:rsidR="00AC290B" w:rsidRDefault="00AC290B">
                              <w:pPr>
                                <w:rPr>
                                  <w:rFonts w:ascii="Calibri" w:hAnsi="Calibri"/>
                                  <w:b/>
                                  <w:bCs/>
                                  <w:sz w:val="28"/>
                                  <w:szCs w:val="28"/>
                                </w:rPr>
                              </w:pPr>
                              <w:r>
                                <w:rPr>
                                  <w:rFonts w:ascii="Calibri" w:hAnsi="Calibri"/>
                                  <w:b/>
                                  <w:bCs/>
                                  <w:sz w:val="28"/>
                                  <w:szCs w:val="28"/>
                                </w:rPr>
                                <w:t>Владимир Брагин,</w:t>
                              </w:r>
                              <w:r>
                                <w:rPr>
                                  <w:rFonts w:ascii="Calibri" w:hAnsi="Calibri"/>
                                  <w:b/>
                                  <w:bCs/>
                                  <w:sz w:val="28"/>
                                  <w:szCs w:val="28"/>
                                </w:rPr>
                                <w:br/>
                              </w:r>
                              <w:r>
                                <w:rPr>
                                  <w:rFonts w:ascii="Calibri" w:hAnsi="Calibri"/>
                                  <w:b/>
                                  <w:bCs/>
                                  <w:color w:val="FF0000"/>
                                  <w:sz w:val="28"/>
                                  <w:szCs w:val="28"/>
                                </w:rPr>
                                <w:t>директор по анализу финансовых рынков</w:t>
                              </w:r>
                              <w:r>
                                <w:rPr>
                                  <w:rFonts w:ascii="Calibri" w:hAnsi="Calibri"/>
                                  <w:b/>
                                  <w:bCs/>
                                  <w:color w:val="FF0000"/>
                                  <w:sz w:val="28"/>
                                  <w:szCs w:val="28"/>
                                </w:rPr>
                                <w:br/>
                                <w:t>и макроэкономики УК «Альфа-Капитал»</w:t>
                              </w:r>
                            </w:p>
                            <w:p w:rsidR="00AC290B" w:rsidRDefault="00AC290B">
                              <w:pPr>
                                <w:rPr>
                                  <w:rFonts w:ascii="Calibri" w:hAnsi="Calibri"/>
                                  <w:color w:val="1F497D"/>
                                  <w:sz w:val="22"/>
                                  <w:szCs w:val="22"/>
                                </w:rPr>
                              </w:pPr>
                            </w:p>
                            <w:p w:rsidR="00AC290B" w:rsidRDefault="00AC290B">
                              <w:pPr>
                                <w:pStyle w:val="a8"/>
                                <w:rPr>
                                  <w:rFonts w:ascii="Calibri" w:hAnsi="Calibri"/>
                                  <w:sz w:val="32"/>
                                  <w:szCs w:val="32"/>
                                </w:rPr>
                              </w:pPr>
                              <w:r>
                                <w:rPr>
                                  <w:rFonts w:ascii="Calibri" w:hAnsi="Calibri"/>
                                  <w:sz w:val="32"/>
                                  <w:szCs w:val="32"/>
                                </w:rPr>
                                <w:t>События и комментарии</w:t>
                              </w:r>
                            </w:p>
                            <w:p w:rsidR="00AC290B" w:rsidRDefault="00AC290B">
                              <w:pPr>
                                <w:pStyle w:val="a5"/>
                                <w:rPr>
                                  <w:rFonts w:ascii="Calibri" w:hAnsi="Calibri"/>
                                  <w:sz w:val="24"/>
                                  <w:szCs w:val="24"/>
                                </w:rPr>
                              </w:pPr>
                              <w:r>
                                <w:rPr>
                                  <w:rFonts w:ascii="Calibri" w:hAnsi="Calibri"/>
                                  <w:sz w:val="24"/>
                                  <w:szCs w:val="24"/>
                                </w:rPr>
                                <w:t xml:space="preserve">На рынке нефти продолжается коррекция после иракских событий. Нефть к началу этой недели торговалась чуть выше 106 долл. за баррель. Основной причиной снижения является относительная слабость мировой экономики, которая, с одной стороны, фиксируется результатами опросов, с другой – отражается, например, в отчете МЭА, прогнозирующего снижение потребления нефти в 2014 году до 92,7 </w:t>
                              </w:r>
                              <w:proofErr w:type="spellStart"/>
                              <w:proofErr w:type="gramStart"/>
                              <w:r>
                                <w:rPr>
                                  <w:rFonts w:ascii="Calibri" w:hAnsi="Calibri"/>
                                  <w:sz w:val="24"/>
                                  <w:szCs w:val="24"/>
                                </w:rPr>
                                <w:t>млн</w:t>
                              </w:r>
                              <w:proofErr w:type="spellEnd"/>
                              <w:proofErr w:type="gramEnd"/>
                              <w:r>
                                <w:rPr>
                                  <w:rFonts w:ascii="Calibri" w:hAnsi="Calibri"/>
                                  <w:sz w:val="24"/>
                                  <w:szCs w:val="24"/>
                                </w:rPr>
                                <w:t xml:space="preserve"> баррелей в сутки. </w:t>
                              </w:r>
                            </w:p>
                            <w:p w:rsidR="00AC290B" w:rsidRDefault="00AC290B">
                              <w:pPr>
                                <w:pStyle w:val="a5"/>
                                <w:rPr>
                                  <w:rFonts w:ascii="Calibri" w:hAnsi="Calibri"/>
                                  <w:sz w:val="24"/>
                                  <w:szCs w:val="24"/>
                                </w:rPr>
                              </w:pPr>
                              <w:r>
                                <w:rPr>
                                  <w:rFonts w:ascii="Calibri" w:hAnsi="Calibri"/>
                                  <w:sz w:val="24"/>
                                  <w:szCs w:val="24"/>
                                </w:rPr>
                                <w:t>Рынок промышленных металлов позитивно поддерживают слухи о том, что спрос со стороны Китая может оказаться сильнее, чем ожидалось ранее, так как данные по состоянию экономики, в том числе производственного сектора, внушают оптимизм. При этом предложение, в частности меди, сокращается.</w:t>
                              </w:r>
                            </w:p>
                            <w:p w:rsidR="00AC290B" w:rsidRDefault="00AC290B">
                              <w:pPr>
                                <w:pStyle w:val="a5"/>
                                <w:rPr>
                                  <w:rFonts w:ascii="Calibri" w:hAnsi="Calibri"/>
                                  <w:sz w:val="24"/>
                                  <w:szCs w:val="24"/>
                                </w:rPr>
                              </w:pPr>
                              <w:proofErr w:type="gramStart"/>
                              <w:r>
                                <w:rPr>
                                  <w:rFonts w:ascii="Calibri" w:hAnsi="Calibri"/>
                                  <w:sz w:val="24"/>
                                  <w:szCs w:val="24"/>
                                </w:rPr>
                                <w:t>Основные</w:t>
                              </w:r>
                              <w:proofErr w:type="gramEnd"/>
                              <w:r>
                                <w:rPr>
                                  <w:rFonts w:ascii="Calibri" w:hAnsi="Calibri"/>
                                  <w:sz w:val="24"/>
                                  <w:szCs w:val="24"/>
                                </w:rPr>
                                <w:t xml:space="preserve"> агрокультуры находятся под давлением хороших данных об урожае. Ближайшие фьючерсы на пшеницу, кукурузу и кофе снизились с начала мая уже на 22–27%. Цены на пшеницу сейчас и вовсе находятся на минимумах с 2010 года. Хотя краткосрочно падение еще может продолжиться, текущие цены уже находятся ниже устойчивого уровня. </w:t>
                              </w:r>
                            </w:p>
                            <w:p w:rsidR="00AC290B" w:rsidRDefault="00AC290B">
                              <w:pPr>
                                <w:pStyle w:val="a5"/>
                                <w:rPr>
                                  <w:rFonts w:ascii="Calibri" w:hAnsi="Calibri"/>
                                  <w:sz w:val="24"/>
                                  <w:szCs w:val="24"/>
                                </w:rPr>
                              </w:pPr>
                              <w:r>
                                <w:rPr>
                                  <w:rFonts w:ascii="Calibri" w:hAnsi="Calibri"/>
                                  <w:sz w:val="24"/>
                                  <w:szCs w:val="24"/>
                                </w:rPr>
                                <w:t>Драгоценные металлы в последнее время все чаще стали вновь расцениваться как защитный инструмент. Опасения инвесторов относительно возможного завершения ралли в акциях в последние недели трансформировались в покупки золота и серебра.</w:t>
                              </w:r>
                            </w:p>
                            <w:p w:rsidR="00AC290B" w:rsidRDefault="00AC290B">
                              <w:pPr>
                                <w:pStyle w:val="a5"/>
                                <w:rPr>
                                  <w:rFonts w:ascii="Calibri" w:hAnsi="Calibri"/>
                                  <w:sz w:val="24"/>
                                  <w:szCs w:val="24"/>
                                </w:rPr>
                              </w:pPr>
                            </w:p>
                            <w:p w:rsidR="00AC290B" w:rsidRDefault="00AC290B">
                              <w:pPr>
                                <w:pStyle w:val="a8"/>
                                <w:rPr>
                                  <w:rFonts w:ascii="Calibri" w:hAnsi="Calibri"/>
                                  <w:sz w:val="32"/>
                                  <w:szCs w:val="32"/>
                                </w:rPr>
                              </w:pPr>
                              <w:r>
                                <w:rPr>
                                  <w:rFonts w:ascii="Calibri" w:hAnsi="Calibri"/>
                                  <w:sz w:val="32"/>
                                  <w:szCs w:val="32"/>
                                </w:rPr>
                                <w:t xml:space="preserve">Прогноз сырьевых рынков </w:t>
                              </w:r>
                            </w:p>
                            <w:p w:rsidR="00AC290B" w:rsidRDefault="00AC290B">
                              <w:pPr>
                                <w:pStyle w:val="a5"/>
                                <w:rPr>
                                  <w:rFonts w:ascii="Calibri" w:hAnsi="Calibri"/>
                                  <w:b/>
                                  <w:bCs/>
                                  <w:color w:val="FF0000"/>
                                  <w:sz w:val="24"/>
                                  <w:szCs w:val="24"/>
                                </w:rPr>
                              </w:pPr>
                              <w:r>
                                <w:rPr>
                                  <w:rFonts w:ascii="Calibri" w:hAnsi="Calibri"/>
                                  <w:b/>
                                  <w:bCs/>
                                  <w:color w:val="FF0000"/>
                                  <w:sz w:val="24"/>
                                  <w:szCs w:val="24"/>
                                </w:rPr>
                                <w:t>Нефть</w:t>
                              </w:r>
                            </w:p>
                            <w:p w:rsidR="00AC290B" w:rsidRDefault="00AC290B">
                              <w:pPr>
                                <w:pStyle w:val="a5"/>
                                <w:spacing w:before="0"/>
                                <w:rPr>
                                  <w:rFonts w:ascii="Calibri" w:hAnsi="Calibri"/>
                                  <w:sz w:val="24"/>
                                  <w:szCs w:val="24"/>
                                </w:rPr>
                              </w:pPr>
                              <w:r>
                                <w:rPr>
                                  <w:rFonts w:ascii="Calibri" w:hAnsi="Calibri"/>
                                  <w:sz w:val="24"/>
                                  <w:szCs w:val="24"/>
                                </w:rPr>
                                <w:t xml:space="preserve">Цена </w:t>
                              </w:r>
                              <w:r>
                                <w:rPr>
                                  <w:rFonts w:ascii="Calibri" w:hAnsi="Calibri"/>
                                  <w:b/>
                                  <w:bCs/>
                                  <w:sz w:val="24"/>
                                  <w:szCs w:val="24"/>
                                </w:rPr>
                                <w:t xml:space="preserve">нефти </w:t>
                              </w:r>
                              <w:r>
                                <w:rPr>
                                  <w:rFonts w:ascii="Calibri" w:hAnsi="Calibri"/>
                                  <w:sz w:val="24"/>
                                  <w:szCs w:val="24"/>
                                </w:rPr>
                                <w:t xml:space="preserve">в обозримой перспективе продолжит колебаться в диапазоне 100–110 долл. (сорт </w:t>
                              </w:r>
                              <w:proofErr w:type="spellStart"/>
                              <w:r>
                                <w:rPr>
                                  <w:rFonts w:ascii="Calibri" w:hAnsi="Calibri"/>
                                  <w:sz w:val="24"/>
                                  <w:szCs w:val="24"/>
                                </w:rPr>
                                <w:t>Brent</w:t>
                              </w:r>
                              <w:proofErr w:type="spellEnd"/>
                              <w:r>
                                <w:rPr>
                                  <w:rFonts w:ascii="Calibri" w:hAnsi="Calibri"/>
                                  <w:sz w:val="24"/>
                                  <w:szCs w:val="24"/>
                                </w:rPr>
                                <w:t xml:space="preserve">). </w:t>
                              </w:r>
                              <w:r>
                                <w:rPr>
                                  <w:rFonts w:ascii="Calibri" w:hAnsi="Calibri"/>
                                  <w:sz w:val="24"/>
                                  <w:szCs w:val="24"/>
                                  <w:lang w:val="en-US"/>
                                </w:rPr>
                                <w:t>C</w:t>
                              </w:r>
                              <w:r w:rsidRPr="00AC290B">
                                <w:rPr>
                                  <w:rFonts w:ascii="Calibri" w:hAnsi="Calibri"/>
                                  <w:sz w:val="24"/>
                                  <w:szCs w:val="24"/>
                                </w:rPr>
                                <w:t xml:space="preserve"> </w:t>
                              </w:r>
                              <w:r>
                                <w:rPr>
                                  <w:rFonts w:ascii="Calibri" w:hAnsi="Calibri"/>
                                  <w:sz w:val="24"/>
                                  <w:szCs w:val="24"/>
                                </w:rPr>
                                <w:t>одной стороны, рост добычи стран, не входящих в ОПЕК, полностью закроет скромное повышение спроса на нефть. С другой стороны, у ОПЕК во главе с Саудовской Аравией остаются возможности для регулирования предложения нефти на мировом рынке, что позволяет им удерживать цены выше 100 долл. за баррель.</w:t>
                              </w:r>
                            </w:p>
                            <w:p w:rsidR="00AC290B" w:rsidRDefault="00AC290B">
                              <w:pPr>
                                <w:pStyle w:val="a5"/>
                                <w:rPr>
                                  <w:rFonts w:ascii="Calibri" w:hAnsi="Calibri"/>
                                  <w:b/>
                                  <w:bCs/>
                                  <w:color w:val="FF0000"/>
                                  <w:sz w:val="24"/>
                                  <w:szCs w:val="24"/>
                                </w:rPr>
                              </w:pPr>
                              <w:r>
                                <w:rPr>
                                  <w:rFonts w:ascii="Calibri" w:hAnsi="Calibri"/>
                                  <w:b/>
                                  <w:bCs/>
                                  <w:color w:val="FF0000"/>
                                  <w:sz w:val="24"/>
                                  <w:szCs w:val="24"/>
                                </w:rPr>
                                <w:t>Драгоценные металлы</w:t>
                              </w:r>
                            </w:p>
                            <w:p w:rsidR="00AC290B" w:rsidRDefault="00AC290B">
                              <w:pPr>
                                <w:pStyle w:val="a5"/>
                                <w:spacing w:before="0"/>
                                <w:rPr>
                                  <w:rFonts w:ascii="Calibri" w:hAnsi="Calibri"/>
                                  <w:sz w:val="24"/>
                                  <w:szCs w:val="24"/>
                                </w:rPr>
                              </w:pPr>
                              <w:r>
                                <w:rPr>
                                  <w:rFonts w:ascii="Calibri" w:hAnsi="Calibri"/>
                                  <w:sz w:val="24"/>
                                  <w:szCs w:val="24"/>
                                </w:rPr>
                                <w:t xml:space="preserve">На рынке </w:t>
                              </w:r>
                              <w:r>
                                <w:rPr>
                                  <w:rFonts w:ascii="Calibri" w:hAnsi="Calibri"/>
                                  <w:b/>
                                  <w:bCs/>
                                  <w:sz w:val="24"/>
                                  <w:szCs w:val="24"/>
                                </w:rPr>
                                <w:t>золота</w:t>
                              </w:r>
                              <w:r>
                                <w:rPr>
                                  <w:rFonts w:ascii="Calibri" w:hAnsi="Calibri"/>
                                  <w:sz w:val="24"/>
                                  <w:szCs w:val="24"/>
                                </w:rPr>
                                <w:t>, а также</w:t>
                              </w:r>
                              <w:r>
                                <w:rPr>
                                  <w:rFonts w:ascii="Calibri" w:hAnsi="Calibri"/>
                                  <w:b/>
                                  <w:bCs/>
                                  <w:sz w:val="24"/>
                                  <w:szCs w:val="24"/>
                                </w:rPr>
                                <w:t xml:space="preserve"> серебра</w:t>
                              </w:r>
                              <w:r>
                                <w:rPr>
                                  <w:rFonts w:ascii="Calibri" w:hAnsi="Calibri"/>
                                  <w:sz w:val="24"/>
                                  <w:szCs w:val="24"/>
                                </w:rPr>
                                <w:t xml:space="preserve"> ситуация выглядит неоднозначно. С одной стороны, золоту удалось удержаться выше 1200 долл. за унцию и не спровоцировать массовое закрытие позиций в физических </w:t>
                              </w:r>
                              <w:r>
                                <w:rPr>
                                  <w:rFonts w:ascii="Calibri" w:hAnsi="Calibri"/>
                                  <w:sz w:val="24"/>
                                  <w:szCs w:val="24"/>
                                  <w:lang w:val="en-US"/>
                                </w:rPr>
                                <w:t>ETF</w:t>
                              </w:r>
                              <w:r>
                                <w:rPr>
                                  <w:rFonts w:ascii="Calibri" w:hAnsi="Calibri"/>
                                  <w:sz w:val="24"/>
                                  <w:szCs w:val="24"/>
                                </w:rPr>
                                <w:t>, сформированных по ценам 1100–1200 долл. С другой стороны, отсутствие устойчивой позитивной динамики не способствует притоку новых игроков. Лучшее, на что пока можно надеяться, – это на возвращение золоту статуса защитного актива.</w:t>
                              </w:r>
                            </w:p>
                            <w:p w:rsidR="00AC290B" w:rsidRDefault="00AC290B">
                              <w:pPr>
                                <w:pStyle w:val="a5"/>
                                <w:rPr>
                                  <w:rFonts w:ascii="Calibri" w:hAnsi="Calibri"/>
                                  <w:sz w:val="24"/>
                                  <w:szCs w:val="24"/>
                                </w:rPr>
                              </w:pPr>
                              <w:r>
                                <w:rPr>
                                  <w:rFonts w:ascii="Calibri" w:hAnsi="Calibri"/>
                                  <w:sz w:val="24"/>
                                  <w:szCs w:val="24"/>
                                </w:rPr>
                                <w:lastRenderedPageBreak/>
                                <w:t>Платина и палладий имеют потенциал роста цены по причине рисков предложения.</w:t>
                              </w:r>
                            </w:p>
                            <w:p w:rsidR="00AC290B" w:rsidRDefault="00AC290B">
                              <w:pPr>
                                <w:pStyle w:val="a5"/>
                                <w:rPr>
                                  <w:rFonts w:ascii="Calibri" w:hAnsi="Calibri"/>
                                  <w:b/>
                                  <w:bCs/>
                                  <w:color w:val="FF0000"/>
                                  <w:sz w:val="24"/>
                                  <w:szCs w:val="24"/>
                                </w:rPr>
                              </w:pPr>
                              <w:r>
                                <w:rPr>
                                  <w:rFonts w:ascii="Calibri" w:hAnsi="Calibri"/>
                                  <w:b/>
                                  <w:bCs/>
                                  <w:color w:val="FF0000"/>
                                  <w:sz w:val="24"/>
                                  <w:szCs w:val="24"/>
                                </w:rPr>
                                <w:t>Промышленные металлы</w:t>
                              </w:r>
                            </w:p>
                            <w:p w:rsidR="00AC290B" w:rsidRDefault="00AC290B">
                              <w:pPr>
                                <w:pStyle w:val="a5"/>
                                <w:spacing w:before="0"/>
                                <w:rPr>
                                  <w:rFonts w:ascii="Calibri" w:hAnsi="Calibri"/>
                                  <w:sz w:val="24"/>
                                  <w:szCs w:val="24"/>
                                </w:rPr>
                              </w:pPr>
                              <w:r>
                                <w:rPr>
                                  <w:rFonts w:ascii="Calibri" w:hAnsi="Calibri"/>
                                  <w:sz w:val="24"/>
                                  <w:szCs w:val="24"/>
                                </w:rPr>
                                <w:t xml:space="preserve">Цены </w:t>
                              </w:r>
                              <w:r>
                                <w:rPr>
                                  <w:rFonts w:ascii="Calibri" w:hAnsi="Calibri"/>
                                  <w:b/>
                                  <w:bCs/>
                                  <w:sz w:val="24"/>
                                  <w:szCs w:val="24"/>
                                </w:rPr>
                                <w:t>промышленных металлов</w:t>
                              </w:r>
                              <w:r>
                                <w:rPr>
                                  <w:rFonts w:ascii="Calibri" w:hAnsi="Calibri"/>
                                  <w:sz w:val="24"/>
                                  <w:szCs w:val="24"/>
                                </w:rPr>
                                <w:t xml:space="preserve"> продолжат колебаться в боковике, с возможностью роста по отдельным металлам (цинк, никель). Определяющим фактором движения станет не спрос, а предложение. На рынках основных металлов (медь, никель, алюминий) в следующем году будет наблюдаться избыток предложения, что существенно ограничивает потенциал роста цены. С другой стороны, большинство металлов торгуются ниже уровня предельных издержек, что ограничивает возможность снижения цен.</w:t>
                              </w:r>
                            </w:p>
                            <w:p w:rsidR="00AC290B" w:rsidRDefault="00AC290B">
                              <w:pPr>
                                <w:rPr>
                                  <w:rFonts w:ascii="Calibri" w:hAnsi="Calibri"/>
                                  <w:color w:val="1F497D"/>
                                  <w:sz w:val="22"/>
                                  <w:szCs w:val="22"/>
                                </w:rPr>
                              </w:pPr>
                            </w:p>
                          </w:tc>
                          <w:tc>
                            <w:tcPr>
                              <w:tcW w:w="600" w:type="dxa"/>
                              <w:vAlign w:val="center"/>
                              <w:hideMark/>
                            </w:tcPr>
                            <w:p w:rsidR="00AC290B" w:rsidRDefault="00AC290B">
                              <w:pPr>
                                <w:rPr>
                                  <w:rFonts w:ascii="Calibri" w:hAnsi="Calibri"/>
                                  <w:sz w:val="22"/>
                                  <w:szCs w:val="22"/>
                                </w:rPr>
                              </w:pPr>
                              <w:r>
                                <w:rPr>
                                  <w:rFonts w:ascii="Calibri" w:hAnsi="Calibri"/>
                                  <w:sz w:val="22"/>
                                  <w:szCs w:val="22"/>
                                </w:rPr>
                                <w:lastRenderedPageBreak/>
                                <w:t> </w:t>
                              </w:r>
                            </w:p>
                          </w:tc>
                        </w:tr>
                      </w:tbl>
                      <w:p w:rsidR="00AC290B" w:rsidRDefault="00AC290B">
                        <w:pPr>
                          <w:rPr>
                            <w:rFonts w:asciiTheme="minorHAnsi" w:eastAsiaTheme="minorEastAsia" w:hAnsiTheme="minorHAnsi" w:cstheme="minorBidi"/>
                            <w:sz w:val="22"/>
                            <w:szCs w:val="22"/>
                          </w:rPr>
                        </w:pPr>
                      </w:p>
                    </w:tc>
                    <w:tc>
                      <w:tcPr>
                        <w:tcW w:w="6" w:type="dxa"/>
                        <w:vAlign w:val="center"/>
                        <w:hideMark/>
                      </w:tcPr>
                      <w:p w:rsidR="00AC290B" w:rsidRDefault="00AC290B">
                        <w:pPr>
                          <w:rPr>
                            <w:rFonts w:asciiTheme="minorHAnsi" w:eastAsiaTheme="minorEastAsia" w:hAnsiTheme="minorHAnsi" w:cstheme="minorBidi"/>
                            <w:sz w:val="22"/>
                            <w:szCs w:val="22"/>
                          </w:rPr>
                        </w:pPr>
                      </w:p>
                    </w:tc>
                  </w:tr>
                </w:tbl>
                <w:p w:rsidR="00AC290B" w:rsidRDefault="00AC290B">
                  <w:pPr>
                    <w:rPr>
                      <w:rFonts w:ascii="Calibri" w:hAnsi="Calibri"/>
                      <w:sz w:val="22"/>
                      <w:szCs w:val="22"/>
                    </w:rPr>
                  </w:pPr>
                </w:p>
              </w:tc>
            </w:tr>
            <w:tr w:rsidR="00AC290B">
              <w:trPr>
                <w:trHeight w:val="150"/>
                <w:tblCellSpacing w:w="0" w:type="dxa"/>
              </w:trPr>
              <w:tc>
                <w:tcPr>
                  <w:tcW w:w="0" w:type="auto"/>
                  <w:vAlign w:val="center"/>
                  <w:hideMark/>
                </w:tcPr>
                <w:p w:rsidR="00AC290B" w:rsidRDefault="00AC290B">
                  <w:pPr>
                    <w:rPr>
                      <w:rFonts w:asciiTheme="minorHAnsi" w:eastAsiaTheme="minorEastAsia" w:hAnsiTheme="minorHAnsi" w:cstheme="minorBidi"/>
                      <w:sz w:val="22"/>
                      <w:szCs w:val="22"/>
                    </w:rPr>
                  </w:pPr>
                </w:p>
              </w:tc>
            </w:tr>
            <w:tr w:rsidR="00AC290B">
              <w:trPr>
                <w:tblCellSpacing w:w="0" w:type="dxa"/>
              </w:trPr>
              <w:tc>
                <w:tcPr>
                  <w:tcW w:w="0" w:type="auto"/>
                  <w:vAlign w:val="center"/>
                  <w:hideMark/>
                </w:tcPr>
                <w:p w:rsidR="00AC290B" w:rsidRDefault="00AC290B">
                  <w:pPr>
                    <w:rPr>
                      <w:rFonts w:asciiTheme="minorHAnsi" w:eastAsiaTheme="minorEastAsia" w:hAnsiTheme="minorHAnsi" w:cstheme="minorBidi"/>
                      <w:sz w:val="22"/>
                      <w:szCs w:val="22"/>
                    </w:rPr>
                  </w:pPr>
                </w:p>
              </w:tc>
            </w:tr>
            <w:tr w:rsidR="00AC290B">
              <w:trPr>
                <w:trHeight w:val="150"/>
                <w:tblCellSpacing w:w="0" w:type="dxa"/>
              </w:trPr>
              <w:tc>
                <w:tcPr>
                  <w:tcW w:w="0" w:type="auto"/>
                  <w:vAlign w:val="center"/>
                  <w:hideMark/>
                </w:tcPr>
                <w:p w:rsidR="00AC290B" w:rsidRDefault="00AC290B">
                  <w:pPr>
                    <w:rPr>
                      <w:rFonts w:asciiTheme="minorHAnsi" w:eastAsiaTheme="minorEastAsia" w:hAnsiTheme="minorHAnsi" w:cstheme="minorBidi"/>
                      <w:sz w:val="22"/>
                      <w:szCs w:val="22"/>
                    </w:rPr>
                  </w:pPr>
                </w:p>
              </w:tc>
            </w:tr>
          </w:tbl>
          <w:p w:rsidR="00AC290B" w:rsidRDefault="00AC290B">
            <w:pPr>
              <w:rPr>
                <w:rFonts w:asciiTheme="minorHAnsi" w:eastAsiaTheme="minorEastAsia" w:hAnsiTheme="minorHAnsi" w:cstheme="minorBidi"/>
                <w:sz w:val="22"/>
                <w:szCs w:val="22"/>
              </w:rPr>
            </w:pPr>
          </w:p>
        </w:tc>
        <w:tc>
          <w:tcPr>
            <w:tcW w:w="0" w:type="auto"/>
            <w:vAlign w:val="center"/>
            <w:hideMark/>
          </w:tcPr>
          <w:p w:rsidR="00AC290B" w:rsidRDefault="00AC290B">
            <w:pPr>
              <w:rPr>
                <w:rFonts w:asciiTheme="minorHAnsi" w:eastAsiaTheme="minorEastAsia" w:hAnsiTheme="minorHAnsi" w:cstheme="minorBidi"/>
                <w:sz w:val="22"/>
                <w:szCs w:val="22"/>
              </w:rPr>
            </w:pPr>
          </w:p>
        </w:tc>
      </w:tr>
    </w:tbl>
    <w:p w:rsidR="00374052" w:rsidRPr="00AC290B" w:rsidRDefault="00374052" w:rsidP="00AC290B"/>
    <w:sectPr w:rsidR="00374052" w:rsidRPr="00AC290B" w:rsidSect="00AC290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rbel">
    <w:altName w:val="Corbel"/>
    <w:panose1 w:val="020B0503020204020204"/>
    <w:charset w:val="CC"/>
    <w:family w:val="swiss"/>
    <w:pitch w:val="variable"/>
    <w:sig w:usb0="A00002EF" w:usb1="4000A44B"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B75BF2"/>
    <w:rsid w:val="000A019B"/>
    <w:rsid w:val="002A6B0C"/>
    <w:rsid w:val="00374052"/>
    <w:rsid w:val="0080648B"/>
    <w:rsid w:val="00AC290B"/>
    <w:rsid w:val="00B75BF2"/>
    <w:rsid w:val="00C0165D"/>
    <w:rsid w:val="00D15FA9"/>
    <w:rsid w:val="00F52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BF2"/>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5BF2"/>
    <w:pPr>
      <w:spacing w:before="100" w:beforeAutospacing="1" w:after="100" w:afterAutospacing="1"/>
    </w:pPr>
  </w:style>
  <w:style w:type="paragraph" w:customStyle="1" w:styleId="Default">
    <w:name w:val="Default"/>
    <w:rsid w:val="00374052"/>
    <w:pPr>
      <w:autoSpaceDE w:val="0"/>
      <w:autoSpaceDN w:val="0"/>
      <w:adjustRightInd w:val="0"/>
      <w:spacing w:after="0" w:line="240" w:lineRule="auto"/>
    </w:pPr>
    <w:rPr>
      <w:rFonts w:ascii="Corbel" w:hAnsi="Corbel" w:cs="Corbel"/>
      <w:color w:val="000000"/>
      <w:sz w:val="24"/>
      <w:szCs w:val="24"/>
    </w:rPr>
  </w:style>
  <w:style w:type="paragraph" w:customStyle="1" w:styleId="Pa3">
    <w:name w:val="Pa3"/>
    <w:basedOn w:val="Default"/>
    <w:next w:val="Default"/>
    <w:uiPriority w:val="99"/>
    <w:rsid w:val="00D15FA9"/>
    <w:pPr>
      <w:spacing w:line="181" w:lineRule="atLeast"/>
    </w:pPr>
    <w:rPr>
      <w:rFonts w:ascii="Verdana" w:hAnsi="Verdana" w:cstheme="minorBidi"/>
      <w:color w:val="auto"/>
    </w:rPr>
  </w:style>
  <w:style w:type="character" w:customStyle="1" w:styleId="A6">
    <w:name w:val="A6"/>
    <w:uiPriority w:val="99"/>
    <w:rsid w:val="00D15FA9"/>
    <w:rPr>
      <w:rFonts w:cs="Verdana"/>
      <w:color w:val="000000"/>
      <w:sz w:val="16"/>
      <w:szCs w:val="16"/>
    </w:rPr>
  </w:style>
  <w:style w:type="paragraph" w:customStyle="1" w:styleId="Pa4">
    <w:name w:val="Pa4"/>
    <w:basedOn w:val="Default"/>
    <w:next w:val="Default"/>
    <w:uiPriority w:val="99"/>
    <w:rsid w:val="00D15FA9"/>
    <w:pPr>
      <w:spacing w:line="241" w:lineRule="atLeast"/>
    </w:pPr>
    <w:rPr>
      <w:rFonts w:ascii="Verdana" w:hAnsi="Verdana" w:cstheme="minorBidi"/>
      <w:color w:val="auto"/>
    </w:rPr>
  </w:style>
  <w:style w:type="character" w:customStyle="1" w:styleId="a4">
    <w:name w:val="А Текст Знак"/>
    <w:basedOn w:val="a0"/>
    <w:link w:val="a5"/>
    <w:locked/>
    <w:rsid w:val="00AC290B"/>
    <w:rPr>
      <w:rFonts w:ascii="Arial Narrow" w:hAnsi="Arial Narrow"/>
    </w:rPr>
  </w:style>
  <w:style w:type="paragraph" w:customStyle="1" w:styleId="a5">
    <w:name w:val="А Текст"/>
    <w:basedOn w:val="a"/>
    <w:link w:val="a4"/>
    <w:rsid w:val="00AC290B"/>
    <w:pPr>
      <w:spacing w:before="80"/>
      <w:jc w:val="both"/>
    </w:pPr>
    <w:rPr>
      <w:rFonts w:ascii="Arial Narrow" w:hAnsi="Arial Narrow" w:cstheme="minorBidi"/>
      <w:sz w:val="22"/>
      <w:szCs w:val="22"/>
      <w:lang w:eastAsia="en-US"/>
    </w:rPr>
  </w:style>
  <w:style w:type="character" w:customStyle="1" w:styleId="a7">
    <w:name w:val="А_ПОДЗАГОЛОВОК Знак"/>
    <w:basedOn w:val="a0"/>
    <w:link w:val="a8"/>
    <w:locked/>
    <w:rsid w:val="00AC290B"/>
    <w:rPr>
      <w:rFonts w:ascii="Arial" w:hAnsi="Arial" w:cs="Arial"/>
      <w:b/>
      <w:bCs/>
      <w:color w:val="FF0000"/>
    </w:rPr>
  </w:style>
  <w:style w:type="paragraph" w:customStyle="1" w:styleId="a8">
    <w:name w:val="А_ПОДЗАГОЛОВОК"/>
    <w:basedOn w:val="a"/>
    <w:link w:val="a7"/>
    <w:rsid w:val="00AC290B"/>
    <w:rPr>
      <w:rFonts w:ascii="Arial" w:hAnsi="Arial" w:cs="Arial"/>
      <w:b/>
      <w:bCs/>
      <w:color w:val="FF0000"/>
      <w:sz w:val="22"/>
      <w:szCs w:val="22"/>
      <w:lang w:eastAsia="en-US"/>
    </w:rPr>
  </w:style>
  <w:style w:type="paragraph" w:styleId="a9">
    <w:name w:val="Balloon Text"/>
    <w:basedOn w:val="a"/>
    <w:link w:val="aa"/>
    <w:uiPriority w:val="99"/>
    <w:semiHidden/>
    <w:unhideWhenUsed/>
    <w:rsid w:val="00AC290B"/>
    <w:rPr>
      <w:rFonts w:ascii="Tahoma" w:hAnsi="Tahoma" w:cs="Tahoma"/>
      <w:sz w:val="16"/>
      <w:szCs w:val="16"/>
    </w:rPr>
  </w:style>
  <w:style w:type="character" w:customStyle="1" w:styleId="aa">
    <w:name w:val="Текст выноски Знак"/>
    <w:basedOn w:val="a0"/>
    <w:link w:val="a9"/>
    <w:uiPriority w:val="99"/>
    <w:semiHidden/>
    <w:rsid w:val="00AC290B"/>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14875201">
      <w:bodyDiv w:val="1"/>
      <w:marLeft w:val="0"/>
      <w:marRight w:val="0"/>
      <w:marTop w:val="0"/>
      <w:marBottom w:val="0"/>
      <w:divBdr>
        <w:top w:val="none" w:sz="0" w:space="0" w:color="auto"/>
        <w:left w:val="none" w:sz="0" w:space="0" w:color="auto"/>
        <w:bottom w:val="none" w:sz="0" w:space="0" w:color="auto"/>
        <w:right w:val="none" w:sz="0" w:space="0" w:color="auto"/>
      </w:divBdr>
    </w:div>
    <w:div w:id="1195726191">
      <w:bodyDiv w:val="1"/>
      <w:marLeft w:val="0"/>
      <w:marRight w:val="0"/>
      <w:marTop w:val="0"/>
      <w:marBottom w:val="0"/>
      <w:divBdr>
        <w:top w:val="none" w:sz="0" w:space="0" w:color="auto"/>
        <w:left w:val="none" w:sz="0" w:space="0" w:color="auto"/>
        <w:bottom w:val="none" w:sz="0" w:space="0" w:color="auto"/>
        <w:right w:val="none" w:sz="0" w:space="0" w:color="auto"/>
      </w:divBdr>
    </w:div>
    <w:div w:id="1554922137">
      <w:bodyDiv w:val="1"/>
      <w:marLeft w:val="0"/>
      <w:marRight w:val="0"/>
      <w:marTop w:val="0"/>
      <w:marBottom w:val="0"/>
      <w:divBdr>
        <w:top w:val="none" w:sz="0" w:space="0" w:color="auto"/>
        <w:left w:val="none" w:sz="0" w:space="0" w:color="auto"/>
        <w:bottom w:val="none" w:sz="0" w:space="0" w:color="auto"/>
        <w:right w:val="none" w:sz="0" w:space="0" w:color="auto"/>
      </w:divBdr>
    </w:div>
    <w:div w:id="1564757049">
      <w:bodyDiv w:val="1"/>
      <w:marLeft w:val="0"/>
      <w:marRight w:val="0"/>
      <w:marTop w:val="0"/>
      <w:marBottom w:val="0"/>
      <w:divBdr>
        <w:top w:val="none" w:sz="0" w:space="0" w:color="auto"/>
        <w:left w:val="none" w:sz="0" w:space="0" w:color="auto"/>
        <w:bottom w:val="none" w:sz="0" w:space="0" w:color="auto"/>
        <w:right w:val="none" w:sz="0" w:space="0" w:color="auto"/>
      </w:divBdr>
    </w:div>
    <w:div w:id="163964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cid:image002.jpg@01CF9F89.8C4239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cid:image001.jpg@01CF9F89.8C42398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cid:image003.jpg@01CF9F89.8C423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925</Words>
  <Characters>5857</Characters>
  <Application>Microsoft Office Word</Application>
  <DocSecurity>0</DocSecurity>
  <Lines>114</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igrodzinskaya</dc:creator>
  <cp:lastModifiedBy>igrodzinskaya</cp:lastModifiedBy>
  <cp:revision>1</cp:revision>
  <dcterms:created xsi:type="dcterms:W3CDTF">2014-07-14T08:44:00Z</dcterms:created>
  <dcterms:modified xsi:type="dcterms:W3CDTF">2014-07-14T13:41:00Z</dcterms:modified>
</cp:coreProperties>
</file>