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3B" w:rsidRDefault="00163A3B" w:rsidP="00163A3B">
      <w:r>
        <w:rPr>
          <w:rFonts w:ascii="Arial" w:hAnsi="Arial" w:cs="Arial"/>
          <w:sz w:val="22"/>
          <w:szCs w:val="22"/>
        </w:rPr>
        <w:t>Добрый день!</w:t>
      </w:r>
    </w:p>
    <w:tbl>
      <w:tblPr>
        <w:tblW w:w="1051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10500"/>
        <w:gridCol w:w="6"/>
      </w:tblGrid>
      <w:tr w:rsidR="00163A3B" w:rsidTr="00163A3B">
        <w:trPr>
          <w:tblCellSpacing w:w="0" w:type="dxa"/>
        </w:trPr>
        <w:tc>
          <w:tcPr>
            <w:tcW w:w="0" w:type="auto"/>
            <w:vAlign w:val="center"/>
            <w:hideMark/>
          </w:tcPr>
          <w:p w:rsidR="00163A3B" w:rsidRDefault="00163A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163A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63A3B" w:rsidRDefault="00163A3B">
                  <w:r>
                    <w:rPr>
                      <w:rFonts w:ascii="Arial" w:hAnsi="Arial" w:cs="Arial"/>
                      <w:noProof/>
                      <w:color w:val="1F497D"/>
                      <w:sz w:val="26"/>
                      <w:szCs w:val="26"/>
                    </w:rPr>
                    <w:drawing>
                      <wp:inline distT="0" distB="0" distL="0" distR="0">
                        <wp:extent cx="4838700" cy="1872481"/>
                        <wp:effectExtent l="19050" t="0" r="0" b="0"/>
                        <wp:docPr id="1" name="Рисунок 1" descr="cid:image001.jpg@01CE7F0D.5D5225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id:image001.jpg@01CE7F0D.5D5225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8503" cy="18801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63A3B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7"/>
                    <w:gridCol w:w="10087"/>
                    <w:gridCol w:w="6"/>
                  </w:tblGrid>
                  <w:tr w:rsidR="00163A3B">
                    <w:trPr>
                      <w:trHeight w:val="150"/>
                      <w:tblCellSpacing w:w="0" w:type="dxa"/>
                    </w:trPr>
                    <w:tc>
                      <w:tcPr>
                        <w:tcW w:w="408" w:type="dxa"/>
                        <w:shd w:val="clear" w:color="auto" w:fill="FFFFFF"/>
                        <w:vAlign w:val="center"/>
                        <w:hideMark/>
                      </w:tcPr>
                      <w:p w:rsidR="00163A3B" w:rsidRDefault="00163A3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101" w:type="dxa"/>
                        <w:shd w:val="clear" w:color="auto" w:fill="FFFFFF"/>
                        <w:vAlign w:val="center"/>
                        <w:hideMark/>
                      </w:tcPr>
                      <w:p w:rsidR="00163A3B" w:rsidRDefault="00163A3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" w:type="dxa"/>
                        <w:shd w:val="clear" w:color="auto" w:fill="FFFFFF"/>
                        <w:vAlign w:val="center"/>
                        <w:hideMark/>
                      </w:tcPr>
                      <w:p w:rsidR="00163A3B" w:rsidRDefault="00163A3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63A3B">
                    <w:trPr>
                      <w:trHeight w:val="420"/>
                      <w:tblCellSpacing w:w="0" w:type="dxa"/>
                    </w:trPr>
                    <w:tc>
                      <w:tcPr>
                        <w:tcW w:w="408" w:type="dxa"/>
                        <w:vAlign w:val="center"/>
                        <w:hideMark/>
                      </w:tcPr>
                      <w:p w:rsidR="00163A3B" w:rsidRDefault="00163A3B"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101" w:type="dxa"/>
                        <w:vAlign w:val="center"/>
                        <w:hideMark/>
                      </w:tcPr>
                      <w:p w:rsidR="00163A3B" w:rsidRDefault="00163A3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163A3B" w:rsidRDefault="00163A3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63A3B">
                    <w:trPr>
                      <w:tblCellSpacing w:w="0" w:type="dxa"/>
                    </w:trPr>
                    <w:tc>
                      <w:tcPr>
                        <w:tcW w:w="408" w:type="dxa"/>
                        <w:vAlign w:val="center"/>
                        <w:hideMark/>
                      </w:tcPr>
                      <w:p w:rsidR="00163A3B" w:rsidRDefault="00163A3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101" w:type="dxa"/>
                        <w:vAlign w:val="center"/>
                        <w:hideMark/>
                      </w:tcPr>
                      <w:tbl>
                        <w:tblPr>
                          <w:tblW w:w="4786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56"/>
                          <w:gridCol w:w="599"/>
                        </w:tblGrid>
                        <w:tr w:rsidR="00163A3B" w:rsidTr="00F763D8">
                          <w:trPr>
                            <w:tblCellSpacing w:w="0" w:type="dxa"/>
                          </w:trPr>
                          <w:tc>
                            <w:tcPr>
                              <w:tcW w:w="4690" w:type="pct"/>
                              <w:vAlign w:val="center"/>
                              <w:hideMark/>
                            </w:tcPr>
                            <w:p w:rsidR="00163A3B" w:rsidRDefault="00163A3B">
                              <w:r>
                                <w:rPr>
                                  <w:rFonts w:ascii="Arial" w:hAnsi="Arial" w:cs="Arial"/>
                                  <w:color w:val="1F497D"/>
                                  <w:sz w:val="26"/>
                                  <w:szCs w:val="26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акций</w:t>
                              </w:r>
                            </w:p>
                            <w:p w:rsidR="00163A3B" w:rsidRDefault="00163A3B"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163A3B" w:rsidRDefault="00163A3B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19050" t="0" r="9525" b="0"/>
                                    <wp:docPr id="2" name="Рисунок 6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6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r:link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63A3B" w:rsidRDefault="00163A3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Владимир Брагин,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163A3B" w:rsidRDefault="00163A3B" w:rsidP="00F763D8">
                              <w:pPr>
                                <w:pStyle w:val="a30"/>
                                <w:ind w:right="432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Российский рынок торговался в тренде с другими развивающимися рынками, потеряв за неделю в долларах 1,25%. Сама же неделя запомнилась инвесторам больше повышенной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волатильностью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на рынке государственного долга развитых стран, что, вероятнее всего, и стало причиной снижения аппетита к риску и связанного с этим оттока средств с развивающихся рынков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на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развитые.</w:t>
                              </w:r>
                            </w:p>
                            <w:p w:rsidR="00163A3B" w:rsidRDefault="00163A3B" w:rsidP="00F763D8">
                              <w:pPr>
                                <w:pStyle w:val="a30"/>
                                <w:ind w:right="432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Краткосрочно интерес инвесторов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к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разувающимся рынками будет низким.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Главный риск – Китай, фондовый рынок которого все больше похож на надувающийся пузырь (резкий рост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Shanghai</w:t>
                              </w:r>
                              <w:r w:rsidRPr="00163A3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Composite</w:t>
                              </w:r>
                              <w:r w:rsidRPr="00163A3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на фоне слабой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макростатистики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вызван притоком средств, изымаемых из других секторов: недвижимости, теневого банковского сектора и т.п.).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Такие пузыри, как правило, «сдуваются» резко, и вряд ли этот случай будет исключением. Если это произойдет, то это создаст риски для коррекции на всех развивающихся рынках, не говоря уже о ценах на сырье. Основными бенефициарами такого сценария станут развитые рынки акций, куда потекут ушедшие с других рынков средства.</w:t>
                              </w:r>
                            </w:p>
                            <w:p w:rsidR="00163A3B" w:rsidRDefault="00163A3B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Между тем мы отмечаем некоторые признаки оживления экономики в России, в частности последние данные по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PMI</w:t>
                              </w:r>
                              <w:r w:rsidRPr="00163A3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оказались лучше ожиданий.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В долгосрочной перспективе оживление экономики в совокупности со снижением премии за геополитические риски может стать сильным драйвером роста для российских акций. Тем не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менее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на более близком горизонте риск коррекции высок, и в наших фондах мы предпочитаем пока держать долю российских ценных бумаг минимальной, отдавая предпочтение более надежным американским и европейским акциям. </w:t>
                              </w:r>
                            </w:p>
                            <w:p w:rsidR="00163A3B" w:rsidRDefault="00163A3B">
                              <w:pPr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color w:val="1F497D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163A3B" w:rsidRDefault="00163A3B">
                              <w:r>
                                <w:rPr>
                                  <w:color w:val="1F497D"/>
                                </w:rPr>
                                <w:t> </w:t>
                              </w:r>
                            </w:p>
                            <w:p w:rsidR="00163A3B" w:rsidRDefault="00163A3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облигаций</w:t>
                              </w:r>
                            </w:p>
                            <w:p w:rsidR="00163A3B" w:rsidRDefault="00163A3B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1190625" cy="1190625"/>
                                    <wp:effectExtent l="19050" t="0" r="9525" b="0"/>
                                    <wp:docPr id="3" name="Рисунок 3" descr="cid:image004.jpg@01CE7BFE.B94C54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" descr="cid:image004.jpg@01CE7BFE.B94C54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r:link="rId1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63A3B" w:rsidRDefault="00163A3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Алексей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Губин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, 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аналитик УК «Альфа-Капитал»</w:t>
                              </w:r>
                            </w:p>
                            <w:p w:rsidR="00163A3B" w:rsidRDefault="00163A3B">
                              <w:pPr>
                                <w:pStyle w:val="a30"/>
                              </w:pPr>
                              <w:r>
                                <w:rPr>
                                  <w:rFonts w:ascii="Calibri" w:hAnsi="Calibri"/>
                                  <w:color w:val="1F497D"/>
                                  <w:sz w:val="36"/>
                                  <w:szCs w:val="36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На прошлой неделе все внимание перехватил на себя рынок госбумаг развитых стран, который находится в состоянии достаточно сильной коррекции. Доходность 30-летних казначейских облигаций США подскочила с середины апреля на 0,5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п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.п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, а доходность 30-летних немецких ценных бумаг выросла на 0,85 п.п. Учитывая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дюрацию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инструментов, снижение цены составило до 20%! Рост доходностей госбумаг не остановился даже после невыразительных данных по рынку труда США, который в апреле 2015 года показал результат несколько хуже ожиданий. Мы полагаем, что коррекция на долгосрочных облигациях развитых стран скоро может подойти к завершению и цены стабилизируются, но при этом внимание к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макроданным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останется на высочайшем уровне –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трейдеры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будут искать намеки на дальнейшие действия ведущих мировых центральных банков.</w:t>
                              </w:r>
                            </w:p>
                            <w:p w:rsidR="00163A3B" w:rsidRDefault="00163A3B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Любопытно, что высокодоходные облигации, а также облигации развивающихся рынков все это время выглядели стабильно, поэтому произошедшее можно трактовать и как компрессию кредитных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спредов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:rsidR="00163A3B" w:rsidRDefault="00163A3B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Рынок рублевых облигаций чувствовал себя спокойно. Замедление инфляции и предполагаемое дальнейшее снижение ключевой ставки ЦБ РФ вкупе с сохраняющимся дефицитом бумаг, связанным с отсутствием новых размещений и приходом пенсионных денег, приводят к тому, что называется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22"/>
                                  <w:szCs w:val="22"/>
                                </w:rPr>
                                <w:t>sq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22"/>
                                  <w:szCs w:val="22"/>
                                  <w:lang w:val="en-US"/>
                                </w:rPr>
                                <w:t>ueez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22"/>
                                  <w:szCs w:val="22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: цены растут в отсутствие продаж. Мы полагаем, что рынок рублевых облигаций все еще выглядит интересно, и, учитывая прогноз ЦБ РФ по инфляции на 1 и 2 года, вполне возможно, что именно рублевые облигации могут генерировать более чем интересную доходность на горизонте ближайших 6–9 месяцев. Общая рекомендация – сохранять позиции с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дюрацией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более 2–2,5 лет.</w:t>
                              </w:r>
                            </w:p>
                            <w:p w:rsidR="00163A3B" w:rsidRDefault="00163A3B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163A3B" w:rsidRDefault="00163A3B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163A3B" w:rsidRDefault="00163A3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сырьевых товаров</w:t>
                              </w:r>
                            </w:p>
                            <w:p w:rsidR="00163A3B" w:rsidRDefault="00163A3B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</w:rPr>
                                <w:drawing>
                                  <wp:inline distT="0" distB="0" distL="0" distR="0">
                                    <wp:extent cx="1123950" cy="1123950"/>
                                    <wp:effectExtent l="19050" t="0" r="0" b="0"/>
                                    <wp:docPr id="4" name="Рисунок 4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4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r:link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3950" cy="1123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63A3B" w:rsidRDefault="00163A3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F497D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163A3B" w:rsidRDefault="00163A3B"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1F497D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163A3B" w:rsidRDefault="00163A3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Владимир Брагин,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163A3B" w:rsidRDefault="00163A3B">
                              <w:r>
                                <w:rPr>
                                  <w:rFonts w:ascii="Arial" w:hAnsi="Arial" w:cs="Arial"/>
                                  <w:color w:val="17385F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163A3B" w:rsidRDefault="00163A3B">
                              <w:pPr>
                                <w:pStyle w:val="a5"/>
                                <w:spacing w:before="120"/>
                              </w:pPr>
                              <w:proofErr w:type="gramStart"/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</w:rPr>
                                <w:t>На</w:t>
                              </w:r>
                              <w:proofErr w:type="gramEnd"/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</w:rPr>
                                <w:t>прошедшей</w:t>
                              </w:r>
                              <w:proofErr w:type="gramEnd"/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</w:rPr>
                                <w:t xml:space="preserve"> недели нефть обновила максимумы с начала года. Вряд ли, впрочем, ралли продлится настолько долго, чтобы вернуться к уровням прошлого года. Характер рынка поменялся, развитие добычи сланцевой нефти в США привело к тому, </w:t>
                              </w:r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</w:rPr>
                                <w:lastRenderedPageBreak/>
                                <w:t xml:space="preserve">что объем предложения на рынке быстрее адаптируется к изменению цен на нефть. С одной стороны, это привело к тому, что отскок в нефти в этом году начался раньше ожиданий, но с другой – его величина и продолжительность будут не такими, как падение. Именно потому, что производители быстрее подстроятся под новые условия. И, кстати, в других регионах добыча нефти оставалась стабильной или же росла, к </w:t>
                              </w:r>
                              <w:proofErr w:type="gramStart"/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</w:rPr>
                                <w:t>примеру</w:t>
                              </w:r>
                              <w:proofErr w:type="gramEnd"/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</w:rPr>
                                <w:t xml:space="preserve"> в странах ОПЕК. Так что текущий рост цен имеет пределы, причем очень близкие. </w:t>
                              </w:r>
                            </w:p>
                            <w:p w:rsidR="00163A3B" w:rsidRDefault="00163A3B">
                              <w:pPr>
                                <w:pStyle w:val="a5"/>
                                <w:spacing w:before="120"/>
                              </w:pPr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</w:rPr>
                                <w:t>Помимо этого, последний рост цен нефти можно связать со снижением долларового индекса DXY ниже 94 пунктов, который снижался на фоне слабой статистики по инфляции и рынку труда в США. Благодаря слабому доллару мы увидели рост долларовых цен не только на нефть, но и на целый ряд других сырьевых товаров. Если доллар снова начнет укрепляться, то цены на сырье, с высокой вероятностью, пойдут вниз.</w:t>
                              </w:r>
                            </w:p>
                            <w:p w:rsidR="00163A3B" w:rsidRDefault="00163A3B">
                              <w:pPr>
                                <w:pStyle w:val="a5"/>
                                <w:spacing w:before="120"/>
                              </w:pPr>
                              <w:r>
                                <w:rPr>
                                  <w:b w:val="0"/>
                                  <w:bCs w:val="0"/>
                                  <w:color w:val="auto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163A3B" w:rsidRDefault="00163A3B">
                              <w:r>
                                <w:rPr>
                                  <w:rFonts w:ascii="Arial" w:hAnsi="Arial" w:cs="Arial"/>
                                  <w:color w:val="17385F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163A3B" w:rsidRDefault="00163A3B" w:rsidP="00F763D8"/>
                            <w:p w:rsidR="00163A3B" w:rsidRDefault="00163A3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22"/>
                                  <w:szCs w:val="22"/>
                                </w:rPr>
                                <w:t>С уважением,</w:t>
                              </w:r>
                            </w:p>
                            <w:p w:rsidR="00163A3B" w:rsidRDefault="00163A3B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22"/>
                                  <w:szCs w:val="22"/>
                                </w:rPr>
                                <w:t>пресс-служба УК «Альфа-Капитал».</w:t>
                              </w:r>
                            </w:p>
                          </w:tc>
                          <w:tc>
                            <w:tcPr>
                              <w:tcW w:w="310" w:type="pct"/>
                              <w:vAlign w:val="center"/>
                              <w:hideMark/>
                            </w:tcPr>
                            <w:p w:rsidR="00163A3B" w:rsidRDefault="00163A3B"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:rsidR="00163A3B" w:rsidRDefault="00163A3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163A3B" w:rsidRDefault="00163A3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63A3B" w:rsidRDefault="00163A3B"/>
              </w:tc>
            </w:tr>
            <w:tr w:rsidR="00163A3B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63A3B" w:rsidRDefault="00163A3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63A3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63A3B" w:rsidRDefault="00163A3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63A3B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63A3B" w:rsidRDefault="00163A3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63A3B" w:rsidRDefault="00163A3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63A3B" w:rsidRDefault="00163A3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163A3B" w:rsidRPr="00163A3B" w:rsidRDefault="00163A3B" w:rsidP="00163A3B">
      <w:r w:rsidRPr="00163A3B">
        <w:lastRenderedPageBreak/>
        <w:t xml:space="preserve"> </w:t>
      </w:r>
    </w:p>
    <w:sectPr w:rsidR="00163A3B" w:rsidRPr="00163A3B" w:rsidSect="001F0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83BF8"/>
    <w:multiLevelType w:val="hybridMultilevel"/>
    <w:tmpl w:val="8E109038"/>
    <w:lvl w:ilvl="0" w:tplc="EC32E5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A3B"/>
    <w:rsid w:val="00163A3B"/>
    <w:rsid w:val="001F0D24"/>
    <w:rsid w:val="00F7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3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A3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-fake-urlt1">
    <w:name w:val="f-fake-url__t1"/>
    <w:basedOn w:val="a0"/>
    <w:rsid w:val="00163A3B"/>
    <w:rPr>
      <w:color w:val="000000"/>
    </w:rPr>
  </w:style>
  <w:style w:type="character" w:customStyle="1" w:styleId="f-fake-urlu1">
    <w:name w:val="f-fake-url__u1"/>
    <w:basedOn w:val="a0"/>
    <w:rsid w:val="00163A3B"/>
    <w:rPr>
      <w:u w:val="single"/>
    </w:rPr>
  </w:style>
  <w:style w:type="character" w:styleId="a4">
    <w:name w:val="Hyperlink"/>
    <w:basedOn w:val="a0"/>
    <w:uiPriority w:val="99"/>
    <w:semiHidden/>
    <w:unhideWhenUsed/>
    <w:rsid w:val="00163A3B"/>
    <w:rPr>
      <w:color w:val="0000FF"/>
      <w:u w:val="single"/>
    </w:rPr>
  </w:style>
  <w:style w:type="paragraph" w:customStyle="1" w:styleId="a30">
    <w:name w:val="a3"/>
    <w:basedOn w:val="a"/>
    <w:rsid w:val="00163A3B"/>
    <w:pPr>
      <w:spacing w:before="80"/>
      <w:jc w:val="both"/>
    </w:pPr>
    <w:rPr>
      <w:rFonts w:ascii="Arial Narrow" w:hAnsi="Arial Narrow"/>
      <w:sz w:val="16"/>
      <w:szCs w:val="16"/>
    </w:rPr>
  </w:style>
  <w:style w:type="paragraph" w:customStyle="1" w:styleId="a5">
    <w:name w:val="a5"/>
    <w:basedOn w:val="a"/>
    <w:rsid w:val="00163A3B"/>
    <w:rPr>
      <w:rFonts w:ascii="Arial" w:hAnsi="Arial" w:cs="Arial"/>
      <w:b/>
      <w:bCs/>
      <w:color w:val="FF000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63A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3A3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0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08D72.9EB849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cid:image004.jpg@01D08D72.9EB849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08D72.9EB8491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cid:image003.jpg@01D08D72.9EB849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igrodzinskaya</dc:creator>
  <cp:lastModifiedBy>igrodzinskaya</cp:lastModifiedBy>
  <cp:revision>1</cp:revision>
  <dcterms:created xsi:type="dcterms:W3CDTF">2015-05-13T09:41:00Z</dcterms:created>
  <dcterms:modified xsi:type="dcterms:W3CDTF">2015-05-13T10:03:00Z</dcterms:modified>
</cp:coreProperties>
</file>