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B0" w:rsidRDefault="00643AFA" w:rsidP="00643AFA">
      <w:pPr>
        <w:jc w:val="center"/>
        <w:rPr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95500"/>
            <wp:effectExtent l="19050" t="0" r="0" b="0"/>
            <wp:docPr id="37" name="Рисунок 4" descr="Описание: C:\Users\k.krokhina\Desktop\MArket_Puls\market_puls\ver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k.krokhina\Desktop\MArket_Puls\market_puls\verh2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FA" w:rsidRDefault="00643AFA" w:rsidP="00643AF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Обзор международных финансовых рынков</w:t>
      </w:r>
    </w:p>
    <w:p w:rsidR="00643AFA" w:rsidRDefault="00643AFA" w:rsidP="00643AFA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40" name="Рисунок 40" descr="Описание: C:\Users\k.krokhina\Desktop\MArket_Puls\market_puls\P_Bra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писание: C:\Users\k.krokhina\Desktop\MArket_Puls\market_puls\P_Bragin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FA" w:rsidRDefault="00643AFA" w:rsidP="00643AF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Владимир Брагин,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color w:val="FF0000"/>
          <w:sz w:val="28"/>
          <w:szCs w:val="28"/>
        </w:rPr>
        <w:t>директор по анализу финансовых рынков</w:t>
      </w:r>
      <w:r>
        <w:rPr>
          <w:rFonts w:ascii="Arial" w:hAnsi="Arial" w:cs="Arial"/>
          <w:b/>
          <w:bCs/>
          <w:color w:val="FF0000"/>
          <w:sz w:val="28"/>
          <w:szCs w:val="28"/>
        </w:rPr>
        <w:br/>
        <w:t>и макроэкономики УК «Альфа-Капитал»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_1. РОССИЙСКИЙ РЫНОК РЕШИЛСЯ НА ОТСКОК</w:t>
      </w:r>
      <w:r>
        <w:rPr>
          <w:rFonts w:ascii="Arial" w:hAnsi="Arial" w:cs="Arial"/>
        </w:rPr>
        <w:t xml:space="preserve">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Оживление активности «быков» позволило рынку </w:t>
      </w:r>
      <w:proofErr w:type="spellStart"/>
      <w:proofErr w:type="gramStart"/>
      <w:r>
        <w:rPr>
          <w:rFonts w:ascii="Arial" w:hAnsi="Arial" w:cs="Arial"/>
        </w:rPr>
        <w:t>отыгра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ть</w:t>
      </w:r>
      <w:proofErr w:type="spellEnd"/>
      <w:proofErr w:type="gramEnd"/>
      <w:r>
        <w:rPr>
          <w:rFonts w:ascii="Arial" w:hAnsi="Arial" w:cs="Arial"/>
        </w:rPr>
        <w:t xml:space="preserve"> часть негатива прошлой недели. Несмотря на насыщенный новостной фон, российский фондовый рынок движется в общем тренде с мировыми площадками: пятидневку индекс ММВБ завершил ростом на 1,2%, РТС вырос на 0,6%, S&amp;P 500 прибавил на 0,8%. Тактически российский рынок выглядит интересным для покупки, так как индексы находятся по-прежнему в нижней границе сложившегося коридора.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следует помнить, что российский рынок пока довольно эмоционально реагирует на новости, связанные с Украиной и санкциями, и практически не реагирует на макроэкономические сигналы. Центральным событием станет завтрашний визит президента РФ в Крым, в ходе которого, как ожидается, будет сделан ряд важных заявлений, касательно сложившейся ситуации.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 экономику также не стоит забывать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на неделе вышли данные по динамике ВВП России за 2кв. 2014г., зафиксировавшие рост на 0,8% г/г. Негативный эффект от падения инвестиций пока удалось компенсировать ростом внутреннего производства, но в целом ситуация остается тревожной: инфляционные риски, в связи с ограничением импорта некоторых категории продовольственных товаров только возрастают, и в случае </w:t>
      </w:r>
      <w:r>
        <w:rPr>
          <w:rFonts w:ascii="Arial" w:hAnsi="Arial" w:cs="Arial"/>
        </w:rPr>
        <w:lastRenderedPageBreak/>
        <w:t xml:space="preserve">ускорение роста цен ЦБ будет </w:t>
      </w:r>
      <w:proofErr w:type="spellStart"/>
      <w:proofErr w:type="gramStart"/>
      <w:r>
        <w:rPr>
          <w:rFonts w:ascii="Arial" w:hAnsi="Arial" w:cs="Arial"/>
        </w:rPr>
        <w:t>продолж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ать</w:t>
      </w:r>
      <w:proofErr w:type="spellEnd"/>
      <w:proofErr w:type="gramEnd"/>
      <w:r>
        <w:rPr>
          <w:rFonts w:ascii="Arial" w:hAnsi="Arial" w:cs="Arial"/>
        </w:rPr>
        <w:t xml:space="preserve"> повышать ставки. Это грозит вылиться как минимум в снижение прибылей в корпоративном секторе и падению инвестиций, а при негативном </w:t>
      </w:r>
      <w:proofErr w:type="gramStart"/>
      <w:r>
        <w:rPr>
          <w:rFonts w:ascii="Arial" w:hAnsi="Arial" w:cs="Arial"/>
        </w:rPr>
        <w:t xml:space="preserve">сцена </w:t>
      </w:r>
      <w:proofErr w:type="spellStart"/>
      <w:r>
        <w:rPr>
          <w:rFonts w:ascii="Arial" w:hAnsi="Arial" w:cs="Arial"/>
        </w:rPr>
        <w:t>рии</w:t>
      </w:r>
      <w:proofErr w:type="spellEnd"/>
      <w:proofErr w:type="gramEnd"/>
      <w:r>
        <w:rPr>
          <w:rFonts w:ascii="Arial" w:hAnsi="Arial" w:cs="Arial"/>
        </w:rPr>
        <w:t xml:space="preserve"> – к возникновению проблем с рефинансированием.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рублевом сегменте мы продолжаем придерживаться консервативной стратегии, выбирая наиболее защищенные от санкций и наименее </w:t>
      </w:r>
      <w:proofErr w:type="spellStart"/>
      <w:r>
        <w:rPr>
          <w:rFonts w:ascii="Arial" w:hAnsi="Arial" w:cs="Arial"/>
          <w:b/>
          <w:bCs/>
        </w:rPr>
        <w:t>закредитованные</w:t>
      </w:r>
      <w:proofErr w:type="spellEnd"/>
      <w:r>
        <w:rPr>
          <w:rFonts w:ascii="Arial" w:hAnsi="Arial" w:cs="Arial"/>
          <w:b/>
          <w:bCs/>
        </w:rPr>
        <w:t xml:space="preserve"> компании, например, дивидендные истории в нефтегазовом секторе, а также частные компании – экспортеры.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_2. САНКЦИИ И ЕВРОПЕЙСКИЙ РЫНОК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Похоже, что санкции США и ЕС в отношении России начинают находить отражение в текущей европейской статистике. К примеру, индекс экономических настроений в Германии снизился до 8,6 пунктов, что существенно ниже июльского значения 27,1 пункта. Аналогичное снижение было отмечено по всей Еврозоне, индекс снизился до 23,7 пункта с 48,1. Все-таки санкции бьют не только по российскому рынку, но и по европейскому, так как ЕС рискует потерять крупного потребителя европейской продукции (что уже происходит с продуктами питания), вырастают риски возникновения проблем с поставками газа через Украину.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Учитывая текущее нестабильное экономическое положение стран южной Европы, российские санкции повлияют на ускорение дефляции в этих странах, особенно Испании, Италии и Греции.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целом временная слабость экономики ЕС может </w:t>
      </w:r>
      <w:proofErr w:type="spellStart"/>
      <w:r>
        <w:rPr>
          <w:rFonts w:ascii="Arial" w:hAnsi="Arial" w:cs="Arial"/>
          <w:b/>
          <w:bCs/>
        </w:rPr>
        <w:t>простимулировать</w:t>
      </w:r>
      <w:proofErr w:type="spellEnd"/>
      <w:r>
        <w:rPr>
          <w:rFonts w:ascii="Arial" w:hAnsi="Arial" w:cs="Arial"/>
          <w:b/>
          <w:bCs/>
        </w:rPr>
        <w:t xml:space="preserve"> ЕЦБ начать стимулирующую программу LTRO, что увеличивает риски краткосрочного ослабления евро, но может позитивно сказаться на финансах европейских компаний.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_3. РУБЛЬ И ОБЛИГАЦИИ: ПОЛЕ ВОЗМОЖНОСТЕЙ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Ситуация на рублевом рынке стабилизировалась несмотря на резкое снижение нефтяных котировок (баррель </w:t>
      </w:r>
      <w:proofErr w:type="spellStart"/>
      <w:r>
        <w:rPr>
          <w:rFonts w:ascii="Arial" w:hAnsi="Arial" w:cs="Arial"/>
        </w:rPr>
        <w:t>Brent</w:t>
      </w:r>
      <w:proofErr w:type="spellEnd"/>
      <w:r>
        <w:rPr>
          <w:rFonts w:ascii="Arial" w:hAnsi="Arial" w:cs="Arial"/>
        </w:rPr>
        <w:t xml:space="preserve"> за неделю подешевел на 1,52% до USD 103). За неделю доллар США подорожал на 0,23%, </w:t>
      </w:r>
      <w:proofErr w:type="spellStart"/>
      <w:r>
        <w:rPr>
          <w:rFonts w:ascii="Arial" w:hAnsi="Arial" w:cs="Arial"/>
        </w:rPr>
        <w:t>бивалютная</w:t>
      </w:r>
      <w:proofErr w:type="spellEnd"/>
      <w:r>
        <w:rPr>
          <w:rFonts w:ascii="Arial" w:hAnsi="Arial" w:cs="Arial"/>
        </w:rPr>
        <w:t xml:space="preserve"> корзина выросла на 0,2% до 41,7 руб.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Краткосрочно на рубль будут оказывать влияние те же факторы, что и на фондовый рынок: новости с Украины, </w:t>
      </w:r>
      <w:proofErr w:type="gramStart"/>
      <w:r>
        <w:rPr>
          <w:rFonts w:ascii="Arial" w:hAnsi="Arial" w:cs="Arial"/>
        </w:rPr>
        <w:t>комментарии Владимира Путина</w:t>
      </w:r>
      <w:proofErr w:type="gramEnd"/>
      <w:r>
        <w:rPr>
          <w:rFonts w:ascii="Arial" w:hAnsi="Arial" w:cs="Arial"/>
        </w:rPr>
        <w:t xml:space="preserve"> в ходе визита в Крым, и комментарии западных лидеров. В среднесрочной перспективе мы по-прежнему не видим, как причин для укрепления рубля, так и фундаментальных возможностей для его сильного ослабления. Ключевой фактор здесь - активная позиция ЦБ, которому слабость </w:t>
      </w:r>
      <w:proofErr w:type="spellStart"/>
      <w:r>
        <w:rPr>
          <w:rFonts w:ascii="Arial" w:hAnsi="Arial" w:cs="Arial"/>
        </w:rPr>
        <w:t>макроданных</w:t>
      </w:r>
      <w:proofErr w:type="spellEnd"/>
      <w:r>
        <w:rPr>
          <w:rFonts w:ascii="Arial" w:hAnsi="Arial" w:cs="Arial"/>
        </w:rPr>
        <w:t xml:space="preserve"> не помешала поднять ставки в ходе прошлого заседания. </w:t>
      </w:r>
    </w:p>
    <w:p w:rsidR="00643AFA" w:rsidRDefault="00643AFA" w:rsidP="00643AFA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стоит забывать и про денежный рынок. Ставки NDF закрепились выше отметки 9.0%, а доходности по </w:t>
      </w:r>
      <w:proofErr w:type="gramStart"/>
      <w:r>
        <w:rPr>
          <w:rFonts w:ascii="Arial" w:hAnsi="Arial" w:cs="Arial"/>
        </w:rPr>
        <w:t>рублевый</w:t>
      </w:r>
      <w:proofErr w:type="gramEnd"/>
      <w:r>
        <w:rPr>
          <w:rFonts w:ascii="Arial" w:hAnsi="Arial" w:cs="Arial"/>
        </w:rPr>
        <w:t xml:space="preserve"> и долларовым долговым инструментам находятся на мартовских уровнях. И хотя ситуация с ликвидностью и ставками до конца года вряд ли улучшится, покупка коротких рублевых или долларовых облигаций позволяет зафиксировать текущие, высокие по историческим меркам доходности. </w:t>
      </w:r>
    </w:p>
    <w:p w:rsidR="00643AFA" w:rsidRDefault="00643AFA" w:rsidP="00643AFA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lastRenderedPageBreak/>
        <w:t>При этом с учетом ограниченного потенциала ослабления рубля, рублевая доходность выглядит даже интереснее. Особенно, если ее можно получить через хеджирование валютных активов.</w:t>
      </w:r>
    </w:p>
    <w:p w:rsidR="00643AFA" w:rsidRPr="00643AFA" w:rsidRDefault="00643AFA" w:rsidP="00643AFA">
      <w:pPr>
        <w:jc w:val="center"/>
        <w:rPr>
          <w:lang w:val="en-US"/>
        </w:rPr>
      </w:pPr>
      <w:r w:rsidRPr="00643AFA"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5715000" cy="762000"/>
            <wp:effectExtent l="19050" t="0" r="0" b="0"/>
            <wp:docPr id="7" name="Рисунок 2" descr="Описание: C:\Users\k.krokhina\Desktop\MArket_Puls\market_puls\n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k.krokhina\Desktop\MArket_Puls\market_puls\niz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AFA" w:rsidRPr="00643AFA" w:rsidSect="002955B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F4" w:rsidRDefault="00075BF4" w:rsidP="00643AFA">
      <w:pPr>
        <w:spacing w:after="0" w:line="240" w:lineRule="auto"/>
      </w:pPr>
      <w:r>
        <w:separator/>
      </w:r>
    </w:p>
  </w:endnote>
  <w:endnote w:type="continuationSeparator" w:id="0">
    <w:p w:rsidR="00075BF4" w:rsidRDefault="00075BF4" w:rsidP="0064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1525"/>
      <w:docPartObj>
        <w:docPartGallery w:val="Page Numbers (Bottom of Page)"/>
        <w:docPartUnique/>
      </w:docPartObj>
    </w:sdtPr>
    <w:sdtContent>
      <w:p w:rsidR="00643AFA" w:rsidRDefault="00643AFA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43AFA" w:rsidRDefault="00643A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F4" w:rsidRDefault="00075BF4" w:rsidP="00643AFA">
      <w:pPr>
        <w:spacing w:after="0" w:line="240" w:lineRule="auto"/>
      </w:pPr>
      <w:r>
        <w:separator/>
      </w:r>
    </w:p>
  </w:footnote>
  <w:footnote w:type="continuationSeparator" w:id="0">
    <w:p w:rsidR="00075BF4" w:rsidRDefault="00075BF4" w:rsidP="00643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AFA"/>
    <w:rsid w:val="00075BF4"/>
    <w:rsid w:val="002955B0"/>
    <w:rsid w:val="0063549E"/>
    <w:rsid w:val="00643AFA"/>
    <w:rsid w:val="0070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A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4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3AFA"/>
  </w:style>
  <w:style w:type="paragraph" w:styleId="a7">
    <w:name w:val="footer"/>
    <w:basedOn w:val="a"/>
    <w:link w:val="a8"/>
    <w:uiPriority w:val="99"/>
    <w:unhideWhenUsed/>
    <w:rsid w:val="0064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FB717.BFA6955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gif@01CFB717.BFA6955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4" Type="http://schemas.openxmlformats.org/officeDocument/2006/relationships/footnotes" Target="footnotes.xml"/><Relationship Id="rId9" Type="http://schemas.openxmlformats.org/officeDocument/2006/relationships/image" Target="cid:image002.jpg@01CFB717.BFA695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3553</Characters>
  <Application>Microsoft Office Word</Application>
  <DocSecurity>0</DocSecurity>
  <Lines>29</Lines>
  <Paragraphs>8</Paragraphs>
  <ScaleCrop>false</ScaleCrop>
  <Company>Finam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1</cp:revision>
  <dcterms:created xsi:type="dcterms:W3CDTF">2014-08-13T13:00:00Z</dcterms:created>
  <dcterms:modified xsi:type="dcterms:W3CDTF">2014-08-13T13:06:00Z</dcterms:modified>
</cp:coreProperties>
</file>