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165" w:rsidRDefault="00D72165" w:rsidP="00D72165">
      <w:pPr>
        <w:spacing w:before="412" w:after="412"/>
        <w:jc w:val="center"/>
        <w:rPr>
          <w:rFonts w:ascii="Arial" w:hAnsi="Arial" w:cs="Arial"/>
          <w:b/>
          <w:bCs/>
          <w:color w:val="1769C8"/>
          <w:sz w:val="28"/>
          <w:szCs w:val="28"/>
        </w:rPr>
      </w:pPr>
      <w:r>
        <w:rPr>
          <w:rFonts w:ascii="Arial" w:hAnsi="Arial" w:cs="Arial"/>
          <w:b/>
          <w:bCs/>
          <w:color w:val="1769C8"/>
          <w:sz w:val="28"/>
          <w:szCs w:val="28"/>
        </w:rPr>
        <w:t>Результаты торгов товарными фьючерсами на ОАО "Санкт-Петербургская биржа" за неделю с 04.07.2011 по 08.04.2011</w:t>
      </w:r>
    </w:p>
    <w:p w:rsidR="00D72165" w:rsidRDefault="00D72165" w:rsidP="00D72165">
      <w:pPr>
        <w:spacing w:line="240" w:lineRule="atLeast"/>
        <w:jc w:val="both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color w:val="405460"/>
          <w:sz w:val="18"/>
          <w:szCs w:val="18"/>
        </w:rPr>
        <w:t xml:space="preserve">За прошедшую неделю с 04.07.2011 по 08.07.2011 на рынке товарных фьючерсов ОАО "Санкт-Петербургская биржа" объем торгов составил 145.3 млн. </w:t>
      </w:r>
      <w:proofErr w:type="spellStart"/>
      <w:r>
        <w:rPr>
          <w:rFonts w:ascii="inherit" w:hAnsi="inherit"/>
          <w:color w:val="405460"/>
          <w:sz w:val="18"/>
          <w:szCs w:val="18"/>
        </w:rPr>
        <w:t>руб</w:t>
      </w:r>
      <w:proofErr w:type="spellEnd"/>
      <w:r>
        <w:rPr>
          <w:rFonts w:ascii="inherit" w:hAnsi="inherit"/>
          <w:color w:val="405460"/>
          <w:sz w:val="18"/>
          <w:szCs w:val="18"/>
        </w:rPr>
        <w:t xml:space="preserve"> (за предыдущую неделю 267.35 млн. руб.). Было заключено 379 сделок на 10 427 контрактов (за предыдущую неделю 719 сделок на 25 236 контрактов). </w:t>
      </w:r>
      <w:r>
        <w:rPr>
          <w:rFonts w:ascii="inherit" w:hAnsi="inherit"/>
          <w:color w:val="405460"/>
          <w:sz w:val="18"/>
          <w:szCs w:val="18"/>
          <w:bdr w:val="none" w:sz="0" w:space="0" w:color="auto" w:frame="1"/>
        </w:rPr>
        <w:t>Объём открытых позиций при закрытии торговой сессии 08.07.2011 зафиксирован на отметке 37.09 млн. руб.</w:t>
      </w:r>
    </w:p>
    <w:tbl>
      <w:tblPr>
        <w:tblW w:w="10785" w:type="dxa"/>
        <w:tblCellMar>
          <w:left w:w="0" w:type="dxa"/>
          <w:right w:w="0" w:type="dxa"/>
        </w:tblCellMar>
        <w:tblLook w:val="04A0"/>
      </w:tblPr>
      <w:tblGrid>
        <w:gridCol w:w="1600"/>
        <w:gridCol w:w="746"/>
        <w:gridCol w:w="614"/>
        <w:gridCol w:w="1498"/>
        <w:gridCol w:w="938"/>
        <w:gridCol w:w="1408"/>
        <w:gridCol w:w="2123"/>
        <w:gridCol w:w="1858"/>
      </w:tblGrid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Фьючерсный контракт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Сектор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proofErr w:type="spellStart"/>
            <w:r>
              <w:rPr>
                <w:rFonts w:ascii="inherit" w:hAnsi="inherit"/>
                <w:sz w:val="18"/>
                <w:szCs w:val="18"/>
              </w:rPr>
              <w:t>Тикер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Объем торгов, млн</w:t>
            </w:r>
            <w:proofErr w:type="gramStart"/>
            <w:r>
              <w:rPr>
                <w:rFonts w:ascii="inherit" w:hAnsi="inherit"/>
                <w:sz w:val="18"/>
                <w:szCs w:val="18"/>
              </w:rPr>
              <w:t>.р</w:t>
            </w:r>
            <w:proofErr w:type="gramEnd"/>
            <w:r>
              <w:rPr>
                <w:rFonts w:ascii="inherit" w:hAnsi="inherit"/>
                <w:sz w:val="18"/>
                <w:szCs w:val="18"/>
              </w:rPr>
              <w:t>уб.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Сделок, шт.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Оборот, контрактов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Объем открытых позиций, млн. руб.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Объем открытых позиций, шт.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на пшеницу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АГРО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GR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32.74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215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4 998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12.11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1 796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на кукурузу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АГРО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CRN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5.10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749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0.54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78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на соевые бобы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АГРО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SBN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4.05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302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14.39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1 050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на хлопок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АГРО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CTN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5.93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164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0.79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22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на дизель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НЕФТЬ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DS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75.31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3 392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3.47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154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на газойль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НЕФТЬ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GSL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22.17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822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5.79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212</w:t>
            </w:r>
          </w:p>
        </w:tc>
      </w:tr>
      <w:tr w:rsidR="00D72165" w:rsidTr="00D72165">
        <w:tc>
          <w:tcPr>
            <w:tcW w:w="0" w:type="auto"/>
            <w:gridSpan w:val="3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b/>
                <w:bCs/>
                <w:sz w:val="18"/>
                <w:szCs w:val="18"/>
              </w:rPr>
              <w:t>145.3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b/>
                <w:bCs/>
                <w:sz w:val="18"/>
                <w:szCs w:val="18"/>
              </w:rPr>
              <w:t>10 427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jc w:val="center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b/>
                <w:bCs/>
                <w:sz w:val="18"/>
                <w:szCs w:val="18"/>
              </w:rPr>
              <w:t>37.09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nil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 </w:t>
            </w:r>
          </w:p>
        </w:tc>
      </w:tr>
    </w:tbl>
    <w:p w:rsidR="00D72165" w:rsidRDefault="00D72165" w:rsidP="00D72165">
      <w:pPr>
        <w:spacing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color w:val="405460"/>
          <w:sz w:val="18"/>
          <w:szCs w:val="18"/>
          <w:bdr w:val="none" w:sz="0" w:space="0" w:color="auto" w:frame="1"/>
        </w:rPr>
        <w:t>* первые торги фьючерсами на хлопок и газойль состоялись 05.07.2011</w:t>
      </w:r>
    </w:p>
    <w:p w:rsidR="00D72165" w:rsidRDefault="00D72165" w:rsidP="00D72165">
      <w:pPr>
        <w:spacing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drawing>
          <wp:inline distT="0" distB="0" distL="0" distR="0">
            <wp:extent cx="3429000" cy="2476500"/>
            <wp:effectExtent l="19050" t="0" r="0" b="0"/>
            <wp:docPr id="1" name="Рисунок 1" descr="http://www.spbex.ru/attachment.rpc?fid=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pbex.ru/attachment.rpc?fid=1141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drawing>
          <wp:inline distT="0" distB="0" distL="0" distR="0">
            <wp:extent cx="3429000" cy="2476500"/>
            <wp:effectExtent l="19050" t="0" r="0" b="0"/>
            <wp:docPr id="2" name="Рисунок 2" descr="http://www.spbex.ru/attachment.rpc?fid=1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spbex.ru/attachment.rpc?fid=1141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65" w:rsidRDefault="00D72165" w:rsidP="00D72165">
      <w:pPr>
        <w:spacing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3429000" cy="2476500"/>
            <wp:effectExtent l="19050" t="0" r="0" b="0"/>
            <wp:docPr id="3" name="Рисунок 3" descr="http://www.spbex.ru/attachment.rpc?fid=1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spbex.ru/attachment.rpc?fid=1141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drawing>
          <wp:inline distT="0" distB="0" distL="0" distR="0">
            <wp:extent cx="3429000" cy="2476500"/>
            <wp:effectExtent l="19050" t="0" r="0" b="0"/>
            <wp:docPr id="4" name="Рисунок 4" descr="http://www.spbex.ru/attachment.rpc?fid=1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pbex.ru/attachment.rpc?fid=1141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65" w:rsidRDefault="00D72165" w:rsidP="00D72165">
      <w:pPr>
        <w:spacing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3429000" cy="2476500"/>
            <wp:effectExtent l="19050" t="0" r="0" b="0"/>
            <wp:docPr id="5" name="Рисунок 5" descr="http://www.spbex.ru/attachment.rpc?fid=1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spbex.ru/attachment.rpc?fid=11418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drawing>
          <wp:inline distT="0" distB="0" distL="0" distR="0">
            <wp:extent cx="3429000" cy="2476500"/>
            <wp:effectExtent l="19050" t="0" r="0" b="0"/>
            <wp:docPr id="6" name="Рисунок 6" descr="http://www.spbex.ru/attachment.rpc?fid=1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spbex.ru/attachment.rpc?fid=11419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65" w:rsidRDefault="00D72165" w:rsidP="00D72165">
      <w:pPr>
        <w:spacing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3429000" cy="2476500"/>
            <wp:effectExtent l="19050" t="0" r="0" b="0"/>
            <wp:docPr id="7" name="Рисунок 7" descr="http://www.spbex.ru/attachment.rpc?fid=1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spbex.ru/attachment.rpc?fid=11416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drawing>
          <wp:inline distT="0" distB="0" distL="0" distR="0">
            <wp:extent cx="3429000" cy="2476500"/>
            <wp:effectExtent l="19050" t="0" r="0" b="0"/>
            <wp:docPr id="8" name="Рисунок 8" descr="http://www.spbex.ru/attachment.rpc?fid=1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spbex.ru/attachment.rpc?fid=11417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65" w:rsidRDefault="00D72165" w:rsidP="00D72165">
      <w:pPr>
        <w:spacing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3429000" cy="2476500"/>
            <wp:effectExtent l="19050" t="0" r="0" b="0"/>
            <wp:docPr id="9" name="Рисунок 9" descr="http://www.spbex.ru/attachment.rpc?fid=1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spbex.ru/attachment.rpc?fid=11422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drawing>
          <wp:inline distT="0" distB="0" distL="0" distR="0">
            <wp:extent cx="3429000" cy="2476500"/>
            <wp:effectExtent l="19050" t="0" r="0" b="0"/>
            <wp:docPr id="10" name="Рисунок 10" descr="http://www.spbex.ru/attachment.rpc?fid=1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spbex.ru/attachment.rpc?fid=11423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65" w:rsidRDefault="00D72165" w:rsidP="00D72165">
      <w:pPr>
        <w:spacing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3429000" cy="2476500"/>
            <wp:effectExtent l="19050" t="0" r="0" b="0"/>
            <wp:docPr id="11" name="Рисунок 11" descr="http://www.spbex.ru/attachment.rpc?fid=1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pbex.ru/attachment.rpc?fid=1142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405460"/>
          <w:sz w:val="18"/>
          <w:szCs w:val="18"/>
          <w:bdr w:val="none" w:sz="0" w:space="0" w:color="auto" w:frame="1"/>
        </w:rPr>
        <w:drawing>
          <wp:inline distT="0" distB="0" distL="0" distR="0">
            <wp:extent cx="3429000" cy="2476500"/>
            <wp:effectExtent l="19050" t="0" r="0" b="0"/>
            <wp:docPr id="12" name="Рисунок 12" descr="http://www.spbex.ru/attachment.rpc?fid=1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spbex.ru/attachment.rpc?fid=11421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65" w:rsidRDefault="00D72165" w:rsidP="00D72165">
      <w:pPr>
        <w:spacing w:line="240" w:lineRule="atLeast"/>
        <w:jc w:val="center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b/>
          <w:bCs/>
          <w:color w:val="405460"/>
          <w:sz w:val="18"/>
          <w:szCs w:val="18"/>
        </w:rPr>
        <w:t>ТОР-5  участников торгов товарными фьючерсами  на ОАО «Санкт-Петербургская биржа» </w:t>
      </w:r>
    </w:p>
    <w:p w:rsidR="00D72165" w:rsidRDefault="00D72165" w:rsidP="00D72165">
      <w:pPr>
        <w:spacing w:line="240" w:lineRule="atLeast"/>
        <w:jc w:val="center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b/>
          <w:bCs/>
          <w:color w:val="405460"/>
          <w:sz w:val="18"/>
          <w:szCs w:val="18"/>
        </w:rPr>
        <w:t>(с 04/07 по 08/07)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854"/>
        <w:gridCol w:w="6661"/>
      </w:tblGrid>
      <w:tr w:rsidR="00D72165" w:rsidTr="00D72165">
        <w:trPr>
          <w:tblHeader/>
        </w:trPr>
        <w:tc>
          <w:tcPr>
            <w:tcW w:w="1500" w:type="pct"/>
            <w:tcBorders>
              <w:top w:val="outset" w:sz="8" w:space="0" w:color="auto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0" w:type="auto"/>
            <w:tcBorders>
              <w:top w:val="outset" w:sz="8" w:space="0" w:color="auto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b/>
                <w:bCs/>
                <w:sz w:val="18"/>
                <w:szCs w:val="18"/>
              </w:rPr>
              <w:t>Название организации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ЗАО "ИФК "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Солид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>"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ОАО "БД "Открытие"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 xml:space="preserve">ОАО "ИК "Ай 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Ти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Инвест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>"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ЗАО "ИК "Питер Траст"</w:t>
            </w:r>
          </w:p>
        </w:tc>
      </w:tr>
      <w:tr w:rsidR="00D72165" w:rsidTr="00D72165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D72165" w:rsidRDefault="00D72165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ООО "Компания БКС"</w:t>
            </w:r>
          </w:p>
        </w:tc>
      </w:tr>
    </w:tbl>
    <w:p w:rsidR="00D72165" w:rsidRDefault="00D72165" w:rsidP="00D72165">
      <w:pPr>
        <w:spacing w:after="320"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color w:val="405460"/>
          <w:sz w:val="18"/>
          <w:szCs w:val="18"/>
        </w:rPr>
        <w:t>В совместном проекте ОАО «Санкт-Петербургская биржа» и Группы РТС по организации рынка товарных фьючерсов организатором торгов является ОАО «Санкт-Петербургская биржа», клиринговой организацией – ЗАО «КЦ РТС», расчетной организацией – НКО «Расчетная палата РТС». Торги проводятся на базе действующей торговой и клиринговой системы рынка FORTS, что позволяет реализовать принцип единой денежной позиции с фьючерсами и опционами срочного рынка РТС.</w:t>
      </w:r>
    </w:p>
    <w:p w:rsidR="00C66E22" w:rsidRDefault="00C66E22"/>
    <w:sectPr w:rsidR="00C66E22" w:rsidSect="00C66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72165"/>
    <w:rsid w:val="00C66E22"/>
    <w:rsid w:val="00D7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65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1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16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5.png@01CC40AA.C59B77A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cid:image009.png@01CC40AA.C59B77A0" TargetMode="External"/><Relationship Id="rId7" Type="http://schemas.openxmlformats.org/officeDocument/2006/relationships/image" Target="cid:image002.png@01CC40AA.C59B77A0" TargetMode="External"/><Relationship Id="rId12" Type="http://schemas.openxmlformats.org/officeDocument/2006/relationships/image" Target="media/image5.png"/><Relationship Id="rId17" Type="http://schemas.openxmlformats.org/officeDocument/2006/relationships/image" Target="cid:image007.png@01CC40AA.C59B77A0" TargetMode="External"/><Relationship Id="rId25" Type="http://schemas.openxmlformats.org/officeDocument/2006/relationships/image" Target="cid:image011.png@01CC40AA.C59B77A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4.png@01CC40AA.C59B77A0" TargetMode="External"/><Relationship Id="rId24" Type="http://schemas.openxmlformats.org/officeDocument/2006/relationships/image" Target="media/image11.png"/><Relationship Id="rId5" Type="http://schemas.openxmlformats.org/officeDocument/2006/relationships/image" Target="cid:image001.png@01CC40AA.C59B77A0" TargetMode="External"/><Relationship Id="rId15" Type="http://schemas.openxmlformats.org/officeDocument/2006/relationships/image" Target="cid:image006.png@01CC40AA.C59B77A0" TargetMode="External"/><Relationship Id="rId23" Type="http://schemas.openxmlformats.org/officeDocument/2006/relationships/image" Target="cid:image010.png@01CC40AA.C59B77A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cid:image008.png@01CC40AA.C59B77A0" TargetMode="External"/><Relationship Id="rId4" Type="http://schemas.openxmlformats.org/officeDocument/2006/relationships/image" Target="media/image1.png"/><Relationship Id="rId9" Type="http://schemas.openxmlformats.org/officeDocument/2006/relationships/image" Target="cid:image003.png@01CC40AA.C59B77A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cid:image012.png@01CC40AA.C59B77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257</Words>
  <Characters>1468</Characters>
  <Application>Microsoft Office Word</Application>
  <DocSecurity>0</DocSecurity>
  <Lines>12</Lines>
  <Paragraphs>3</Paragraphs>
  <ScaleCrop>false</ScaleCrop>
  <Company>Finam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lgaynutdinova</dc:creator>
  <cp:keywords/>
  <dc:description/>
  <cp:lastModifiedBy>lgaynutdinova</cp:lastModifiedBy>
  <cp:revision>1</cp:revision>
  <dcterms:created xsi:type="dcterms:W3CDTF">2011-07-12T12:23:00Z</dcterms:created>
  <dcterms:modified xsi:type="dcterms:W3CDTF">2011-07-12T12:25:00Z</dcterms:modified>
</cp:coreProperties>
</file>