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2C" w:rsidRDefault="00F6562C" w:rsidP="004C3DDD">
      <w:pPr>
        <w:spacing w:after="200"/>
        <w:rPr>
          <w:rFonts w:ascii="Calibri" w:hAnsi="Calibri"/>
          <w:b/>
          <w:bCs/>
          <w:color w:val="FF0000"/>
        </w:rPr>
      </w:pPr>
    </w:p>
    <w:p w:rsidR="004C3DDD" w:rsidRDefault="004C3DDD" w:rsidP="004C3DDD">
      <w:pPr>
        <w:spacing w:after="200"/>
        <w:rPr>
          <w:rFonts w:ascii="Calibri" w:hAnsi="Calibri"/>
          <w:b/>
          <w:bCs/>
          <w:color w:val="FF0000"/>
        </w:rPr>
      </w:pPr>
      <w:r>
        <w:rPr>
          <w:rFonts w:ascii="Calibri" w:hAnsi="Calibri"/>
          <w:b/>
          <w:bCs/>
          <w:color w:val="FF0000"/>
        </w:rPr>
        <w:t>По глобальным рынкам:</w:t>
      </w:r>
    </w:p>
    <w:p w:rsidR="004C3DDD" w:rsidRDefault="004C3DDD" w:rsidP="004C3DDD">
      <w:pPr>
        <w:spacing w:after="200"/>
        <w:jc w:val="both"/>
        <w:rPr>
          <w:rFonts w:ascii="Calibri" w:hAnsi="Calibri"/>
          <w:lang w:val="en-US"/>
        </w:rPr>
      </w:pPr>
      <w:proofErr w:type="gramStart"/>
      <w:r>
        <w:rPr>
          <w:rFonts w:ascii="Calibri" w:hAnsi="Calibri"/>
        </w:rPr>
        <w:t xml:space="preserve">Многодневный понижательный тренд в глобальных индексах, связанный с опасениями по поводу исходов парламентских выборов в Греции и президентских – во Франции, продемонстрировал признаки внутренней усталости в четверг, когда в США вышел блок благоприятной </w:t>
      </w:r>
      <w:proofErr w:type="spellStart"/>
      <w:r>
        <w:rPr>
          <w:rFonts w:ascii="Calibri" w:hAnsi="Calibri"/>
        </w:rPr>
        <w:t>макростатистики</w:t>
      </w:r>
      <w:proofErr w:type="spellEnd"/>
      <w:r>
        <w:rPr>
          <w:rFonts w:ascii="Calibri" w:hAnsi="Calibri"/>
        </w:rPr>
        <w:t xml:space="preserve"> по рынку труда и Федеральному бюджету, показавшему в апреле неожиданный </w:t>
      </w:r>
      <w:proofErr w:type="spellStart"/>
      <w:r>
        <w:rPr>
          <w:rFonts w:ascii="Calibri" w:hAnsi="Calibri"/>
        </w:rPr>
        <w:t>профицит</w:t>
      </w:r>
      <w:proofErr w:type="spellEnd"/>
      <w:r>
        <w:rPr>
          <w:rFonts w:ascii="Calibri" w:hAnsi="Calibri"/>
        </w:rPr>
        <w:t xml:space="preserve"> на более чем $50 млрд. Ожившие было котировки акций в конце дня едва «устояли на ногах</w:t>
      </w:r>
      <w:proofErr w:type="gramEnd"/>
      <w:r>
        <w:rPr>
          <w:rFonts w:ascii="Calibri" w:hAnsi="Calibri"/>
        </w:rPr>
        <w:t xml:space="preserve">» после сообщения банка JP </w:t>
      </w:r>
      <w:proofErr w:type="spellStart"/>
      <w:r>
        <w:rPr>
          <w:rFonts w:ascii="Calibri" w:hAnsi="Calibri"/>
        </w:rPr>
        <w:t>Morgan</w:t>
      </w:r>
      <w:proofErr w:type="spellEnd"/>
      <w:r>
        <w:rPr>
          <w:rFonts w:ascii="Calibri" w:hAnsi="Calibri"/>
        </w:rPr>
        <w:t xml:space="preserve"> о колоссальных убытках от торговли </w:t>
      </w:r>
      <w:proofErr w:type="spellStart"/>
      <w:r>
        <w:rPr>
          <w:rFonts w:ascii="Calibri" w:hAnsi="Calibri"/>
        </w:rPr>
        <w:t>деривативами</w:t>
      </w:r>
      <w:proofErr w:type="spellEnd"/>
      <w:r>
        <w:rPr>
          <w:rFonts w:ascii="Calibri" w:hAnsi="Calibri"/>
        </w:rPr>
        <w:t xml:space="preserve"> в размере ни много ни мало $2 млрд. На следующий день, в пятницу, слабость банковского сектора ощущалась повсеместно: по-видимому, распродажи соответствующих акций </w:t>
      </w:r>
      <w:proofErr w:type="gramStart"/>
      <w:r>
        <w:rPr>
          <w:rFonts w:ascii="Calibri" w:hAnsi="Calibri"/>
        </w:rPr>
        <w:t>продолжатся</w:t>
      </w:r>
      <w:proofErr w:type="gramEnd"/>
      <w:r>
        <w:rPr>
          <w:rFonts w:ascii="Calibri" w:hAnsi="Calibri"/>
        </w:rPr>
        <w:t xml:space="preserve"> по крайней мере до тех пор, пока конкуренты JP </w:t>
      </w:r>
      <w:proofErr w:type="spellStart"/>
      <w:r>
        <w:rPr>
          <w:rFonts w:ascii="Calibri" w:hAnsi="Calibri"/>
        </w:rPr>
        <w:t>Morgan</w:t>
      </w:r>
      <w:proofErr w:type="spellEnd"/>
      <w:r>
        <w:rPr>
          <w:rFonts w:ascii="Calibri" w:hAnsi="Calibri"/>
        </w:rPr>
        <w:t xml:space="preserve"> не обнародуют свои промежуточные операционные результаты, которые могли бы успокоить инвесторов в том ключе, что никакого системного сбоя в их балансах нет. Испания несколько оттенила безысходность греческих событий, объявив о частичной национализации одного </w:t>
      </w:r>
      <w:proofErr w:type="gramStart"/>
      <w:r>
        <w:rPr>
          <w:rFonts w:ascii="Calibri" w:hAnsi="Calibri"/>
        </w:rPr>
        <w:t>из</w:t>
      </w:r>
      <w:proofErr w:type="gramEnd"/>
      <w:r>
        <w:rPr>
          <w:rFonts w:ascii="Calibri" w:hAnsi="Calibri"/>
        </w:rPr>
        <w:t xml:space="preserve"> наиболее </w:t>
      </w:r>
      <w:proofErr w:type="gramStart"/>
      <w:r>
        <w:rPr>
          <w:rFonts w:ascii="Calibri" w:hAnsi="Calibri"/>
        </w:rPr>
        <w:t>уязвимых</w:t>
      </w:r>
      <w:proofErr w:type="gramEnd"/>
      <w:r>
        <w:rPr>
          <w:rFonts w:ascii="Calibri" w:hAnsi="Calibri"/>
        </w:rPr>
        <w:t xml:space="preserve"> </w:t>
      </w:r>
      <w:proofErr w:type="spellStart"/>
      <w:r>
        <w:rPr>
          <w:rFonts w:ascii="Calibri" w:hAnsi="Calibri"/>
        </w:rPr>
        <w:t>системообразующих</w:t>
      </w:r>
      <w:proofErr w:type="spellEnd"/>
      <w:r>
        <w:rPr>
          <w:rFonts w:ascii="Calibri" w:hAnsi="Calibri"/>
        </w:rPr>
        <w:t xml:space="preserve"> банков – </w:t>
      </w:r>
      <w:proofErr w:type="spellStart"/>
      <w:r>
        <w:rPr>
          <w:rFonts w:ascii="Calibri" w:hAnsi="Calibri"/>
        </w:rPr>
        <w:t>Bankia</w:t>
      </w:r>
      <w:proofErr w:type="spellEnd"/>
      <w:r>
        <w:rPr>
          <w:rFonts w:ascii="Calibri" w:hAnsi="Calibri"/>
        </w:rPr>
        <w:t xml:space="preserve"> SA – намекнув на намерение страны идти дальше по более успешному «ирландскому сценарию», а не по греческому.</w:t>
      </w:r>
    </w:p>
    <w:p w:rsidR="003A100D" w:rsidRPr="003A100D" w:rsidRDefault="003A100D" w:rsidP="004C3DDD">
      <w:pPr>
        <w:spacing w:after="200"/>
        <w:jc w:val="both"/>
        <w:rPr>
          <w:lang w:val="en-US"/>
        </w:rPr>
      </w:pPr>
    </w:p>
    <w:p w:rsidR="004C3DDD" w:rsidRDefault="004C3DDD" w:rsidP="004C3DDD">
      <w:pPr>
        <w:spacing w:after="200"/>
        <w:rPr>
          <w:rFonts w:ascii="Calibri" w:hAnsi="Calibri"/>
          <w:b/>
          <w:bCs/>
          <w:color w:val="FF0000"/>
        </w:rPr>
      </w:pPr>
      <w:r>
        <w:rPr>
          <w:rFonts w:ascii="Calibri" w:hAnsi="Calibri"/>
          <w:b/>
          <w:bCs/>
          <w:color w:val="FF0000"/>
        </w:rPr>
        <w:t>По развивающимся рынкам:</w:t>
      </w:r>
    </w:p>
    <w:p w:rsidR="004C3DDD" w:rsidRDefault="004C3DDD" w:rsidP="004C3DDD">
      <w:pPr>
        <w:spacing w:after="200"/>
        <w:jc w:val="both"/>
        <w:rPr>
          <w:rFonts w:ascii="Calibri" w:hAnsi="Calibri"/>
          <w:lang w:val="en-US"/>
        </w:rPr>
      </w:pPr>
      <w:r>
        <w:rPr>
          <w:rFonts w:ascii="Calibri" w:hAnsi="Calibri"/>
        </w:rPr>
        <w:t xml:space="preserve">Китайская инвестиционная корпорация (CIC), обладающая активами порядка </w:t>
      </w:r>
      <w:proofErr w:type="spellStart"/>
      <w:r>
        <w:rPr>
          <w:rFonts w:ascii="Calibri" w:hAnsi="Calibri"/>
        </w:rPr>
        <w:t>полутриллиона</w:t>
      </w:r>
      <w:proofErr w:type="spellEnd"/>
      <w:r>
        <w:rPr>
          <w:rFonts w:ascii="Calibri" w:hAnsi="Calibri"/>
        </w:rPr>
        <w:t xml:space="preserve"> долларов, объявила о моратории на инвестиции в ценные бумаги стран Еврозоны «до прояснения дальнейших деталей» долгового кризиса. Несмотря на существующие в этой связи намёки на вероятность повышения активности КНР на рынке золота, котировки последнего ровным счётом никак не отреагировали. Синхронное падение наиболее ликвидных сырьевых фьючерсов на фоне ещё более впечатляющей просадки фондовых индексов GEM (так, южнокорейский KOSPI за неделю потерял почти 4%, индийский SENSEX – почти 5%, а бразильский </w:t>
      </w:r>
      <w:proofErr w:type="spellStart"/>
      <w:r>
        <w:rPr>
          <w:rFonts w:ascii="Calibri" w:hAnsi="Calibri"/>
        </w:rPr>
        <w:t>Bovespa</w:t>
      </w:r>
      <w:proofErr w:type="spellEnd"/>
      <w:r>
        <w:rPr>
          <w:rFonts w:ascii="Calibri" w:hAnsi="Calibri"/>
        </w:rPr>
        <w:t xml:space="preserve"> – почти 6%) говорит о наличии системного горизонтального понижательного тренда на развивающихся рынках, которые постепенно теряют </w:t>
      </w:r>
      <w:proofErr w:type="gramStart"/>
      <w:r>
        <w:rPr>
          <w:rFonts w:ascii="Calibri" w:hAnsi="Calibri"/>
        </w:rPr>
        <w:t>чувствительность</w:t>
      </w:r>
      <w:proofErr w:type="gramEnd"/>
      <w:r>
        <w:rPr>
          <w:rFonts w:ascii="Calibri" w:hAnsi="Calibri"/>
        </w:rPr>
        <w:t xml:space="preserve"> как к индивидуальным корпоративным историям, так и к макроэкономическим данным – в том числе, и из Китая. По данным EPFR, устояли от оттока средств лишь фонды, инвестирующие в облигации </w:t>
      </w:r>
      <w:proofErr w:type="spellStart"/>
      <w:r>
        <w:rPr>
          <w:rFonts w:ascii="Calibri" w:hAnsi="Calibri"/>
        </w:rPr>
        <w:t>emerging</w:t>
      </w:r>
      <w:proofErr w:type="spellEnd"/>
      <w:r>
        <w:rPr>
          <w:rFonts w:ascii="Calibri" w:hAnsi="Calibri"/>
        </w:rPr>
        <w:t xml:space="preserve"> </w:t>
      </w:r>
      <w:proofErr w:type="spellStart"/>
      <w:r>
        <w:rPr>
          <w:rFonts w:ascii="Calibri" w:hAnsi="Calibri"/>
        </w:rPr>
        <w:t>markets</w:t>
      </w:r>
      <w:proofErr w:type="spellEnd"/>
      <w:r>
        <w:rPr>
          <w:rFonts w:ascii="Calibri" w:hAnsi="Calibri"/>
        </w:rPr>
        <w:t>, тогда как фонды, инвестирующие в акции, продолжили курс на ослабление, показав очередной отток в размере  $377 млн.</w:t>
      </w:r>
    </w:p>
    <w:p w:rsidR="003A100D" w:rsidRPr="003A100D" w:rsidRDefault="003A100D" w:rsidP="004C3DDD">
      <w:pPr>
        <w:spacing w:after="200"/>
        <w:jc w:val="both"/>
        <w:rPr>
          <w:lang w:val="en-US"/>
        </w:rPr>
      </w:pPr>
    </w:p>
    <w:p w:rsidR="004C3DDD" w:rsidRDefault="004C3DDD" w:rsidP="004C3DDD">
      <w:pPr>
        <w:spacing w:after="200"/>
        <w:rPr>
          <w:rFonts w:ascii="Calibri" w:hAnsi="Calibri"/>
          <w:b/>
          <w:bCs/>
          <w:color w:val="FF0000"/>
        </w:rPr>
      </w:pPr>
      <w:r>
        <w:rPr>
          <w:rFonts w:ascii="Calibri" w:hAnsi="Calibri"/>
          <w:b/>
          <w:bCs/>
          <w:color w:val="FF0000"/>
        </w:rPr>
        <w:t>По сырью:</w:t>
      </w:r>
    </w:p>
    <w:p w:rsidR="004C3DDD" w:rsidRDefault="004C3DDD" w:rsidP="004C3DDD">
      <w:pPr>
        <w:spacing w:after="200"/>
        <w:jc w:val="both"/>
      </w:pPr>
      <w:r>
        <w:rPr>
          <w:rFonts w:ascii="Calibri" w:hAnsi="Calibri"/>
        </w:rPr>
        <w:t>- ENERGY:  Нефть всю неделю отстояла на локальных минимальных уровнях 110-112 $/</w:t>
      </w:r>
      <w:proofErr w:type="spellStart"/>
      <w:r>
        <w:rPr>
          <w:rFonts w:ascii="Calibri" w:hAnsi="Calibri"/>
        </w:rPr>
        <w:t>барр</w:t>
      </w:r>
      <w:proofErr w:type="spellEnd"/>
      <w:r>
        <w:rPr>
          <w:rFonts w:ascii="Calibri" w:hAnsi="Calibri"/>
        </w:rPr>
        <w:t xml:space="preserve">. С этих уровней наблюдается выкуп всех попыток продавливания цены ниже. Техническая картинка на сегодня выглядит консолидацией, возможно, на следующей неделе мы увидим рост к уровням 116-117.00 долл. за баррель. </w:t>
      </w:r>
    </w:p>
    <w:p w:rsidR="004C3DDD" w:rsidRDefault="004C3DDD" w:rsidP="004C3DDD">
      <w:pPr>
        <w:spacing w:after="200"/>
        <w:jc w:val="both"/>
      </w:pPr>
      <w:r>
        <w:rPr>
          <w:rFonts w:ascii="Calibri" w:hAnsi="Calibri"/>
        </w:rPr>
        <w:t xml:space="preserve"> - GOLDS:  Золото не вызывает интерес спекулянтов последние </w:t>
      </w:r>
      <w:r w:rsidR="00960EAA">
        <w:rPr>
          <w:rFonts w:ascii="Calibri" w:hAnsi="Calibri"/>
        </w:rPr>
        <w:t xml:space="preserve">три </w:t>
      </w:r>
      <w:r>
        <w:rPr>
          <w:rFonts w:ascii="Calibri" w:hAnsi="Calibri"/>
        </w:rPr>
        <w:t xml:space="preserve">месяца, и прошедшая неделя - не исключение. На фоне укрепления доллара США мы видим падение металла еще ниже, к уровню 1575. Это очень близко к уровню 1540-1520 – нижней границе </w:t>
      </w:r>
      <w:r>
        <w:rPr>
          <w:rFonts w:ascii="Calibri" w:hAnsi="Calibri"/>
        </w:rPr>
        <w:lastRenderedPageBreak/>
        <w:t xml:space="preserve">широкого коридора (1520-1780, который формируется с сентября 2011 г.).  Можно присмотреться к покупкам данного актива от уровня 1540-1520. </w:t>
      </w:r>
    </w:p>
    <w:p w:rsidR="004C3DDD" w:rsidRDefault="004C3DDD" w:rsidP="004C3DDD">
      <w:pPr>
        <w:spacing w:after="200"/>
        <w:jc w:val="both"/>
      </w:pPr>
      <w:r>
        <w:rPr>
          <w:rFonts w:ascii="Calibri" w:hAnsi="Calibri"/>
        </w:rPr>
        <w:t> - BASE METALS:  Никель и Медь показывают движение вниз, как и на прошлой неделе.  В мировой экономике  снижение спроса на базовые металлы.  </w:t>
      </w:r>
    </w:p>
    <w:p w:rsidR="004C3DDD" w:rsidRDefault="004C3DDD" w:rsidP="004C3DDD">
      <w:pPr>
        <w:spacing w:after="200"/>
        <w:jc w:val="both"/>
      </w:pPr>
      <w:r>
        <w:rPr>
          <w:rFonts w:ascii="Calibri" w:hAnsi="Calibri"/>
        </w:rPr>
        <w:t> - GRAINS:  Кукуруза, Пшеница пробили свои уровни вниз,  6.00 $/бушель,  давление хороших урожаев (согласно отчетам Министерства сельского хозяйства США) этих культур оказывает негативное влияние на цены еще с начала года и мы видим постоянное снижение. Соя</w:t>
      </w:r>
      <w:r w:rsidR="00960EAA" w:rsidRPr="00960EAA">
        <w:rPr>
          <w:rFonts w:ascii="Calibri" w:hAnsi="Calibri"/>
        </w:rPr>
        <w:t>/</w:t>
      </w:r>
      <w:r>
        <w:rPr>
          <w:rFonts w:ascii="Calibri" w:hAnsi="Calibri"/>
        </w:rPr>
        <w:t xml:space="preserve">бобы, хорошая коррекция прошла за две последние недели – техническая картина с большой вероятностью говорит о том, что рост закончился. Более того, вероятно, следует ждать хорошего  движения вниз. </w:t>
      </w:r>
    </w:p>
    <w:p w:rsidR="004C3DDD" w:rsidRDefault="004C3DDD" w:rsidP="004C3DDD">
      <w:pPr>
        <w:spacing w:after="200"/>
        <w:jc w:val="both"/>
        <w:rPr>
          <w:rFonts w:ascii="Calibri" w:hAnsi="Calibri"/>
          <w:lang w:val="en-US"/>
        </w:rPr>
      </w:pPr>
      <w:r>
        <w:rPr>
          <w:rFonts w:ascii="Calibri" w:hAnsi="Calibri"/>
        </w:rPr>
        <w:t> - SOFTS:  Сахар и Кофе, за неделю ничего не изменилось, цены движутся вниз, хорошие урожаи, запасы и сезонность пока по-прежнему подталкивают  к продажам.  Какао – технически цены показывают стабилизацию на уровне 2100 $/тонна, от этих уровней заметна покупка и  рост актива. Актив может быть интересен для покупки.  </w:t>
      </w:r>
    </w:p>
    <w:p w:rsidR="003A100D" w:rsidRPr="003A100D" w:rsidRDefault="003A100D" w:rsidP="004C3DDD">
      <w:pPr>
        <w:spacing w:after="200"/>
        <w:jc w:val="both"/>
        <w:rPr>
          <w:lang w:val="en-US"/>
        </w:rPr>
      </w:pPr>
    </w:p>
    <w:p w:rsidR="004C3DDD" w:rsidRDefault="004C3DDD" w:rsidP="004C3DDD">
      <w:pPr>
        <w:spacing w:after="200"/>
        <w:rPr>
          <w:rFonts w:ascii="Calibri" w:hAnsi="Calibri"/>
          <w:b/>
          <w:bCs/>
          <w:color w:val="FF0000"/>
        </w:rPr>
      </w:pPr>
      <w:r>
        <w:rPr>
          <w:rFonts w:ascii="Calibri" w:hAnsi="Calibri"/>
          <w:b/>
          <w:bCs/>
          <w:color w:val="FF0000"/>
        </w:rPr>
        <w:t>По акциям:</w:t>
      </w:r>
    </w:p>
    <w:p w:rsidR="004C3DDD" w:rsidRDefault="004C3DDD" w:rsidP="004C3DDD">
      <w:pPr>
        <w:spacing w:after="200"/>
        <w:jc w:val="both"/>
      </w:pPr>
      <w:r>
        <w:rPr>
          <w:rFonts w:ascii="Calibri" w:hAnsi="Calibri"/>
        </w:rPr>
        <w:t>На  прошедшей неделе снижение фондовых рынков продолжилось. Причиной послужили победа социалиста на выборах президента Франции (это создаёт риски изменения экономической политики страны), неопределённость с парламентом Греции (переговоры по созданию коалиции пока не приходят к консенсусу) и слабая статистика по рынку труда США.</w:t>
      </w:r>
    </w:p>
    <w:p w:rsidR="004C3DDD" w:rsidRDefault="004C3DDD" w:rsidP="004C3DDD">
      <w:pPr>
        <w:spacing w:after="200"/>
        <w:jc w:val="both"/>
        <w:rPr>
          <w:rFonts w:ascii="Calibri" w:hAnsi="Calibri"/>
          <w:lang w:val="en-US"/>
        </w:rPr>
      </w:pPr>
      <w:r>
        <w:rPr>
          <w:rFonts w:ascii="Calibri" w:hAnsi="Calibri"/>
        </w:rPr>
        <w:t>Российский рынок был одним из лидеров снижения – индекс ММВБ опустился до 1400 пунктов. Наиболее слабо смотрелись акции металлургического и энергетического секторов, вернувшиеся к уровням начала 2009 года.</w:t>
      </w:r>
    </w:p>
    <w:p w:rsidR="003A100D" w:rsidRPr="003A100D" w:rsidRDefault="003A100D" w:rsidP="004C3DDD">
      <w:pPr>
        <w:spacing w:after="200"/>
        <w:jc w:val="both"/>
        <w:rPr>
          <w:lang w:val="en-US"/>
        </w:rPr>
      </w:pPr>
    </w:p>
    <w:p w:rsidR="004C3DDD" w:rsidRDefault="004C3DDD" w:rsidP="004C3DDD">
      <w:pPr>
        <w:spacing w:after="200"/>
        <w:rPr>
          <w:rFonts w:ascii="Calibri" w:hAnsi="Calibri"/>
          <w:b/>
          <w:bCs/>
          <w:color w:val="000080"/>
        </w:rPr>
      </w:pPr>
      <w:r>
        <w:rPr>
          <w:rFonts w:ascii="Calibri" w:hAnsi="Calibri"/>
          <w:b/>
          <w:bCs/>
          <w:color w:val="FF0000"/>
        </w:rPr>
        <w:t>По бондам:</w:t>
      </w:r>
      <w:r>
        <w:rPr>
          <w:rFonts w:ascii="Calibri" w:hAnsi="Calibri"/>
          <w:b/>
          <w:bCs/>
          <w:color w:val="000080"/>
        </w:rPr>
        <w:t xml:space="preserve"> </w:t>
      </w:r>
    </w:p>
    <w:p w:rsidR="004C3DDD" w:rsidRDefault="004C3DDD" w:rsidP="004C3DDD">
      <w:pPr>
        <w:spacing w:after="200"/>
        <w:jc w:val="both"/>
      </w:pPr>
      <w:r>
        <w:rPr>
          <w:rFonts w:ascii="Calibri" w:hAnsi="Calibri"/>
        </w:rPr>
        <w:t>Корпоративные рублевые облигации на неделе продемонстрировали небольшое снижение (20-30 пунктов) под влиянием внешнего негативного фона. Стоит отметить, что в понедельник-вторник рынок фактически стоял на месте ввиду «условно-торговых» дней, снижение котировок мы увидели в четверг-пятницу. Такое поведение в целом можно назвать адекватным, беря в учет гораздо более существенные понижательные настроения на рынках капитала. Рублевые бонды всего-навсего отыграли накопившийся негатив предыдущих дней.</w:t>
      </w:r>
    </w:p>
    <w:p w:rsidR="004C3DDD" w:rsidRDefault="004C3DDD" w:rsidP="004C3DDD">
      <w:pPr>
        <w:spacing w:after="200"/>
        <w:jc w:val="both"/>
      </w:pPr>
      <w:r>
        <w:rPr>
          <w:rFonts w:ascii="Calibri" w:hAnsi="Calibri"/>
        </w:rPr>
        <w:t>Основной негатив сейчас льется со стороны рынков капитала, которые подвержены влиянию нелицеприятной статистики, слабых корпоративных отчетов, политическим пертурбациям в Еврозоне. Политический фактор довольно сильно подлил масла в огонь, во-первых, рынки не особо обрадовались исходу президентских выборов во Франции, во-вторых, основное разочарование вызвали итоги парламентских выборов в Греции, которые не смогли выявить явного победителя, способного на формирование нового правительства.</w:t>
      </w:r>
    </w:p>
    <w:p w:rsidR="004C3DDD" w:rsidRDefault="004C3DDD" w:rsidP="004C3DDD">
      <w:pPr>
        <w:spacing w:after="200"/>
        <w:jc w:val="both"/>
      </w:pPr>
      <w:r>
        <w:rPr>
          <w:rFonts w:ascii="Calibri" w:hAnsi="Calibri"/>
        </w:rPr>
        <w:lastRenderedPageBreak/>
        <w:t xml:space="preserve">На следующий день после этого Греция разместила полугодовые ноты на € 1.3 </w:t>
      </w:r>
      <w:proofErr w:type="spellStart"/>
      <w:proofErr w:type="gramStart"/>
      <w:r>
        <w:rPr>
          <w:rFonts w:ascii="Calibri" w:hAnsi="Calibri"/>
        </w:rPr>
        <w:t>млрд</w:t>
      </w:r>
      <w:proofErr w:type="spellEnd"/>
      <w:proofErr w:type="gramEnd"/>
      <w:r>
        <w:rPr>
          <w:rFonts w:ascii="Calibri" w:hAnsi="Calibri"/>
        </w:rPr>
        <w:t>, в результате аукциона стоимость заимствований выросла впервые в этом году (до 4.69% с 4.55% годовых на аукционе 10 апреля). Данный фактор оказал влияние и на доходности индикативных десятилеток, подтолкнув их вверх. Так за неделю доходность греческих государственных бондов выросла на 396 б.п. – до 24.18 с 20.23% годовых, доходность испанских десятилеток вновь пересекла 6-процентную планку, составив в пятницу 6.01% годовых (+30 б.п. за неделю).</w:t>
      </w:r>
    </w:p>
    <w:p w:rsidR="004C3DDD" w:rsidRDefault="004C3DDD" w:rsidP="004C3DDD">
      <w:pPr>
        <w:spacing w:after="200"/>
        <w:jc w:val="both"/>
      </w:pPr>
      <w:r>
        <w:rPr>
          <w:rFonts w:ascii="Calibri" w:hAnsi="Calibri"/>
        </w:rPr>
        <w:t>На неделе Банк России провел очередное заседание, на котором было принято решение оставить ключевые процентные ставки на неизменном уровне: ставка рефинансирования – 8% годовых; ставка по депозитам «</w:t>
      </w:r>
      <w:proofErr w:type="spellStart"/>
      <w:r>
        <w:rPr>
          <w:rFonts w:ascii="Calibri" w:hAnsi="Calibri"/>
        </w:rPr>
        <w:t>овернайт</w:t>
      </w:r>
      <w:proofErr w:type="spellEnd"/>
      <w:r>
        <w:rPr>
          <w:rFonts w:ascii="Calibri" w:hAnsi="Calibri"/>
        </w:rPr>
        <w:t xml:space="preserve">» - 4% годовых, ставка однодневного аукционного РЕПО – 5.25% годовых. Решение не преподнесло рынку никакого сюрприза, оно было ожидаемо большинством участников рынка. Аргументы сохранения ставок на неизменном уровне у регулятора все те же – ожидание увеличения темпов инфляции во второй половине года из-за предстоящего повышения большинства цен и тарифов. Вновь было сказано о том, что текущий уровень ставок видится приемлемым на ближайшие месяцы. </w:t>
      </w:r>
    </w:p>
    <w:p w:rsidR="00883AEC" w:rsidRDefault="00883AEC"/>
    <w:sectPr w:rsidR="00883AEC" w:rsidSect="00883AEC">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CE6" w:rsidRDefault="00FE6CE6" w:rsidP="004C3DDD">
      <w:r>
        <w:separator/>
      </w:r>
    </w:p>
  </w:endnote>
  <w:endnote w:type="continuationSeparator" w:id="0">
    <w:p w:rsidR="00FE6CE6" w:rsidRDefault="00FE6CE6" w:rsidP="004C3D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376"/>
      <w:docPartObj>
        <w:docPartGallery w:val="Page Numbers (Bottom of Page)"/>
        <w:docPartUnique/>
      </w:docPartObj>
    </w:sdtPr>
    <w:sdtContent>
      <w:p w:rsidR="004C3DDD" w:rsidRDefault="004C3DDD">
        <w:pPr>
          <w:pStyle w:val="a5"/>
          <w:jc w:val="right"/>
        </w:pPr>
        <w:fldSimple w:instr=" PAGE   \* MERGEFORMAT ">
          <w:r w:rsidR="00F6562C">
            <w:rPr>
              <w:noProof/>
            </w:rPr>
            <w:t>1</w:t>
          </w:r>
        </w:fldSimple>
      </w:p>
    </w:sdtContent>
  </w:sdt>
  <w:p w:rsidR="004C3DDD" w:rsidRDefault="004C3D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CE6" w:rsidRDefault="00FE6CE6" w:rsidP="004C3DDD">
      <w:r>
        <w:separator/>
      </w:r>
    </w:p>
  </w:footnote>
  <w:footnote w:type="continuationSeparator" w:id="0">
    <w:p w:rsidR="00FE6CE6" w:rsidRDefault="00FE6CE6" w:rsidP="004C3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D" w:rsidRDefault="004C3DDD" w:rsidP="004C3DDD">
    <w:pPr>
      <w:spacing w:after="200"/>
      <w:jc w:val="both"/>
    </w:pPr>
    <w:r>
      <w:rPr>
        <w:rFonts w:ascii="Calibri" w:hAnsi="Calibri"/>
      </w:rPr>
      <w:t>Инвестиционный комментарий от ИГ "Норд-Капитал"</w:t>
    </w:r>
  </w:p>
  <w:p w:rsidR="004C3DDD" w:rsidRDefault="004C3DD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C3DDD"/>
    <w:rsid w:val="003A100D"/>
    <w:rsid w:val="004C3DDD"/>
    <w:rsid w:val="00883AEC"/>
    <w:rsid w:val="00960EAA"/>
    <w:rsid w:val="00F6562C"/>
    <w:rsid w:val="00FE6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DD"/>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3DDD"/>
    <w:pPr>
      <w:tabs>
        <w:tab w:val="center" w:pos="4677"/>
        <w:tab w:val="right" w:pos="9355"/>
      </w:tabs>
    </w:pPr>
  </w:style>
  <w:style w:type="character" w:customStyle="1" w:styleId="a4">
    <w:name w:val="Верхний колонтитул Знак"/>
    <w:basedOn w:val="a0"/>
    <w:link w:val="a3"/>
    <w:uiPriority w:val="99"/>
    <w:semiHidden/>
    <w:rsid w:val="004C3DDD"/>
    <w:rPr>
      <w:rFonts w:ascii="Times New Roman" w:hAnsi="Times New Roman" w:cs="Times New Roman"/>
      <w:sz w:val="24"/>
      <w:szCs w:val="24"/>
      <w:lang w:eastAsia="ru-RU"/>
    </w:rPr>
  </w:style>
  <w:style w:type="paragraph" w:styleId="a5">
    <w:name w:val="footer"/>
    <w:basedOn w:val="a"/>
    <w:link w:val="a6"/>
    <w:uiPriority w:val="99"/>
    <w:unhideWhenUsed/>
    <w:rsid w:val="004C3DDD"/>
    <w:pPr>
      <w:tabs>
        <w:tab w:val="center" w:pos="4677"/>
        <w:tab w:val="right" w:pos="9355"/>
      </w:tabs>
    </w:pPr>
  </w:style>
  <w:style w:type="character" w:customStyle="1" w:styleId="a6">
    <w:name w:val="Нижний колонтитул Знак"/>
    <w:basedOn w:val="a0"/>
    <w:link w:val="a5"/>
    <w:uiPriority w:val="99"/>
    <w:rsid w:val="004C3DDD"/>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457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990</Words>
  <Characters>5648</Characters>
  <Application>Microsoft Office Word</Application>
  <DocSecurity>0</DocSecurity>
  <Lines>47</Lines>
  <Paragraphs>13</Paragraphs>
  <ScaleCrop>false</ScaleCrop>
  <Company>Finam</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4</cp:revision>
  <dcterms:created xsi:type="dcterms:W3CDTF">2012-05-12T09:59:00Z</dcterms:created>
  <dcterms:modified xsi:type="dcterms:W3CDTF">2012-05-12T10:04:00Z</dcterms:modified>
</cp:coreProperties>
</file>