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60"/>
        <w:gridCol w:w="6"/>
      </w:tblGrid>
      <w:tr w:rsidR="006F06F8" w:rsidTr="006F06F8">
        <w:trPr>
          <w:tblCellSpacing w:w="0" w:type="dxa"/>
        </w:trPr>
        <w:tc>
          <w:tcPr>
            <w:tcW w:w="0" w:type="auto"/>
            <w:vAlign w:val="center"/>
            <w:hideMark/>
          </w:tcPr>
          <w:p w:rsidR="006F06F8" w:rsidRDefault="006F06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6F06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6F8" w:rsidRDefault="006F06F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6678930" cy="2449195"/>
                        <wp:effectExtent l="19050" t="0" r="7620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8930" cy="2449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06F8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0"/>
                    <w:gridCol w:w="10144"/>
                    <w:gridCol w:w="6"/>
                  </w:tblGrid>
                  <w:tr w:rsidR="006F06F8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6F06F8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6F06F8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44"/>
                          <w:gridCol w:w="600"/>
                        </w:tblGrid>
                        <w:tr w:rsidR="006F06F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F06F8" w:rsidRDefault="006F06F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6F06F8" w:rsidRDefault="006F06F8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2530" cy="1192530"/>
                                    <wp:effectExtent l="19050" t="0" r="7620" b="0"/>
                                    <wp:docPr id="2" name="Рисунок 2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2530" cy="11925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6F06F8" w:rsidRDefault="006F06F8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6F06F8" w:rsidRDefault="006F06F8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В то время как на западных рынках год начался с коррекции (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500 с начала года потерял 0,54%,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EURO</w:t>
                              </w:r>
                              <w:r w:rsidRPr="006F06F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STOXX</w:t>
                              </w:r>
                              <w:r w:rsidRPr="006F06F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опустился на 1,65%), развивающиеся рынки акций, в том числе российский, чувствуют себя неплохо. Хотя «долларовый» РТС опустился за неделю на 4,03% (это объясняется переоценкой из-за ослабления рубля на 7% вслед за снижением цен на нефть), реальных продаж в ценных бумагах мы не видим. Наоборот, наблюдаются покупки ценных бумаг компаний-экспортеров – металлургов и нефтегазовых компаний, что подтверждает наше предположение о том, что пик «распродаж» уже пройден в декабре, когда иностранные инвесторы предпочитали продавать российские ценные бумаги по любым ценам.</w:t>
                              </w:r>
                            </w:p>
                            <w:p w:rsidR="006F06F8" w:rsidRDefault="006F06F8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Предстоящая неделя будет насыщенна на события. Например, есть риск потери Россией рейтинга инвестиционного уровня от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, пройдут переговоры по поводу Украины в «нормандском формате»,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итоги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которых потенциально могут иметь сильнейшие последствия, но российский рынок акций, вероятнее всего, переживет «турбулентность» спокойнее, нежели валютный или долговой рынок.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В пером квартале, если мы не увидим реализации негативного сценария, включающего в себя обострение кризиса в финансовой системе и ряд корпоративных дефолтов, то спрос на российские акции (в особенности бумаги экспортеров) будет высоким,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а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следовательно, мы можем увидеть выход индекса ММВБ из коридора в 1300‒1600 пунктов, в котором он торгуется в последние четыре года.</w:t>
                              </w:r>
                            </w:p>
                            <w:p w:rsidR="006F06F8" w:rsidRDefault="006F06F8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В наших фондах акций мы начали год с увеличения доли российских ценных бумаг, ожидая получить прибыль от отскока российского рынка. Мы по-прежнему отдаем предпочтения наиболее защищенным к рискам внутренней экономики идеям – металлургам, производителям удобрений и дивидендным историям в нефтегазовом секторе. 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F06F8" w:rsidRDefault="006F06F8">
                              <w:r>
                                <w:rPr>
                                  <w:color w:val="1F497D"/>
                                </w:rPr>
                                <w:t> </w:t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6F06F8" w:rsidRDefault="006F06F8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92530" cy="1192530"/>
                                    <wp:effectExtent l="19050" t="0" r="7620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2530" cy="11925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Основными ньюсмейкерами на рынке российских облигаций в течение длинных праздников стали рейтинговые агентства. Так, агентство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Fitch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9 января снизило рейтинг РФ на 1 ступень – до уровня ВВВ–,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пр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огноз «негативный». В результате данного действия российский рейтинг от этого агентства вплотную приблизился к «мусорному» уровню и окажется таковым при снижении еще лишь на одну ступень. 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Однако решение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Fitch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не было бы столь критичным, если бы на горизонте не мелькал пересмотр российского рейтинга от другого агентства – S&amp;P, ожидается, что это произойдет в середине января. Проблема заключается в том, что текущий уровень рейтинга РФ по шкале S&amp;P уже находится на уровне ВВВ–,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и 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потенциальное снижение рейтинга приведет к тому, что по версии S&amp;P рейтинг России скатится из инвестиционной в спекулятивную категорию. Именно эти опасения наряду с падающей нефтью и привели к коррекции в российских евробондах в течение первых дней 2015 года на 2–7%.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Несмотря на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то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что многие иностранные инвесторы если не полностью вышли из российских ценных бумаг, то существенно сократили свои позиции в них, риск коррекции еще на 2–3% в случае негативного рейтингового решения достаточно велик. При этом хочется отметить, что текущие доходности российских долговых инструментов соответствуют кредитному рейтингу на 2–3 ступени ниже текущего. Так что потенциал роста доходности в долгосрочном периоде даже при снижении рейтинга очень ограничен, и в случае такой просадки логичнее будет подставлять «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биды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». 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Кроме того, в случае понижения рейтинга также есть вероятность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задействования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неких нестандартных мер со стороны российских властей, которые могут помочь стабилизировать долговой рынок.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6F06F8" w:rsidRDefault="006F06F8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21410" cy="1121410"/>
                                    <wp:effectExtent l="19050" t="0" r="2540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1410" cy="11214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6F06F8" w:rsidRDefault="006F06F8"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> </w:t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Нефть начала 2015 год с резкого снижения – до 50 долл. за баррель. С одной стороны, продолжает усиливаться риск сокращения спроса, в частности, со стороны Китая: HSBC PMI производственных секторов экономики снизился до 49,6 пункта. С другой стороны, несмотря на новости о дефолтах компаний нефтегазового сектора в США и Канаде, объемы предложения нефти пока не спешат снижаться.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Важно отметить, что наиболее сильный удар от снижения цен на нефть примут на себя компании с долларовыми издержками либо оперирующие в странах со стабильной по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lastRenderedPageBreak/>
                                <w:t>отношению к доллару США валютой. К слову, российские нефтегазовые компании на фоне ослабления рубля выглядят наиболее предпочтительно.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  <w:spacing w:after="12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Промышленные металлы на прошедшей неделе снижались на слабой статистике по Китаю. В целом металлургические компании остаются более интересными, чем компании нефтегазового сектора, ввиду более стабильных цен на металлы и девальвации валют добывающих стран. Последний фактор добавляет рисков снижения цены на металлы, так как компании имеют запас по марже для предложения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более конкурентной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цены.</w:t>
                              </w:r>
                            </w:p>
                            <w:p w:rsidR="006F06F8" w:rsidRDefault="006F06F8">
                              <w:pPr>
                                <w:pStyle w:val="a5"/>
                                <w:spacing w:after="120"/>
                                <w:jc w:val="both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Драгоценные металлы с начала года показывают рост. Несмотря на хорошую статистику по рынку труда в США, безработица снизилась до 5,6%. Драгоценные металлы получили поддержку в снижении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ISM</w:t>
                              </w:r>
                              <w:r w:rsidRPr="006F06F8"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PMI</w:t>
                              </w:r>
                              <w:r w:rsidRPr="006F06F8"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как в производственных секторах экономики, так и в непроизводственных. Кроме того, стоит отметить уменьшение корпоративных прибылей на фоне снижения инфляции и сокращение доходов нефтегазовых компаний. </w:t>
                              </w:r>
                            </w:p>
                            <w:p w:rsidR="006F06F8" w:rsidRDefault="006F06F8">
                              <w:pPr>
                                <w:pStyle w:val="a5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Прогноз сырьевых рынков 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Нефть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  <w:spacing w:befor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По всей видимости, цены на нефть еще долгое время останутся низкими, что связано с желанием ОПЕК не мешать естественному ходу событий, а именно – снижению инвестиций в разведку и бурение. Быстрое восстановление цен на нефть при сокращении квот привело бы лишь к уменьшению доли картеля на рынке при сохранении высоких темпов роста предложения. 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Драгоценные металлы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  <w:spacing w:befor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На рынке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золота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, а также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серебра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ситуация выглядит неоднозначно. С одной стороны, золоту пока удавалось удерживаться недалеко от 1200 долл. за унцию, с другой стороны, отсутствие устойчивой позитивной динамики не способствует притоку новых игроков, поэтому при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ограниченном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апсайде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риски существенного снижения цены золота очень высоки.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Платина и палладий имеют потенциал роста цены по причине рисков предложения, а также увеличения промышленного спроса. 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</w:rPr>
                                <w:t>Промышленные металлы</w:t>
                              </w:r>
                            </w:p>
                            <w:p w:rsidR="006F06F8" w:rsidRDefault="006F06F8">
                              <w:pPr>
                                <w:pStyle w:val="a30"/>
                                <w:spacing w:befor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С одной стороны, цены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промышленных металлов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имеют шансы на рост в том случае, если снижение цен на нефть приведет к оживлению мировой экономики. С другой стороны, ослабление валют стран, являющихся крупнейшими производителями металлов, а также снижение издержек из-за падения цен на нефть – это высокий риск ценовой войны. Поэтому на среднесрочном горизонте цены промышленных металлов могут ощутимо снизиться.</w:t>
                              </w:r>
                            </w:p>
                            <w:p w:rsidR="006F06F8" w:rsidRDefault="006F06F8">
                              <w:pPr>
                                <w:pStyle w:val="a5"/>
                                <w:spacing w:after="120"/>
                                <w:jc w:val="both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F06F8" w:rsidRDefault="006F06F8">
                              <w:pPr>
                                <w:pStyle w:val="a5"/>
                                <w:spacing w:after="120"/>
                                <w:jc w:val="both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F06F8" w:rsidRDefault="006F06F8">
                              <w:pPr>
                                <w:pStyle w:val="a5"/>
                                <w:spacing w:after="120"/>
                                <w:jc w:val="both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Если по какой-то причине Вам не интересна рассылка, есть пожелания по ее содержанию или Вы знаете тех, кому она могла бы также быть полезной, пожалуйста, сообщите Ирине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Балалуевой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 на </w:t>
                              </w:r>
                              <w:hyperlink r:id="rId12" w:history="1"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</w:rPr>
                                  <w:t>.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balalueva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</w:rPr>
                                  <w:t>@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alfacapital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. </w:t>
                              </w:r>
                            </w:p>
                            <w:p w:rsidR="006F06F8" w:rsidRDefault="006F06F8"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Остаемся на связи!</w:t>
                              </w:r>
                            </w:p>
                            <w:p w:rsidR="006F06F8" w:rsidRDefault="006F06F8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С уважением,</w:t>
                              </w:r>
                            </w:p>
                            <w:p w:rsidR="006F06F8" w:rsidRDefault="006F06F8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пресс-служба УК «Альфа-Капитал».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6F06F8" w:rsidRDefault="006F06F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6F06F8" w:rsidRDefault="006F06F8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</w:tbl>
                <w:p w:rsidR="006F06F8" w:rsidRDefault="006F06F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>
                        <wp:extent cx="6671310" cy="763270"/>
                        <wp:effectExtent l="19050" t="0" r="0" b="0"/>
                        <wp:docPr id="5" name="Рисунок 5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1310" cy="763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06F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6F8" w:rsidRDefault="006F06F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6F06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6F8" w:rsidRDefault="006F06F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6F06F8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06F8" w:rsidRDefault="006F06F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6F06F8" w:rsidRDefault="006F06F8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p w:rsidR="006F06F8" w:rsidRDefault="006F06F8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C97692" w:rsidRPr="00B91DBE" w:rsidRDefault="00C97692" w:rsidP="00B91DBE"/>
    <w:sectPr w:rsidR="00C97692" w:rsidRPr="00B91DBE" w:rsidSect="006F0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668"/>
    <w:rsid w:val="0017656A"/>
    <w:rsid w:val="00196B97"/>
    <w:rsid w:val="00684884"/>
    <w:rsid w:val="006F06F8"/>
    <w:rsid w:val="0071666C"/>
    <w:rsid w:val="00725D8E"/>
    <w:rsid w:val="00B91DBE"/>
    <w:rsid w:val="00C97692"/>
    <w:rsid w:val="00D22755"/>
    <w:rsid w:val="00E3799C"/>
    <w:rsid w:val="00EE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9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668"/>
    <w:rPr>
      <w:color w:val="0000FF" w:themeColor="hyperlink"/>
      <w:u w:val="single"/>
    </w:rPr>
  </w:style>
  <w:style w:type="paragraph" w:customStyle="1" w:styleId="Default">
    <w:name w:val="Default"/>
    <w:rsid w:val="006848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76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0">
    <w:name w:val="a3"/>
    <w:basedOn w:val="a"/>
    <w:rsid w:val="006F06F8"/>
    <w:pPr>
      <w:spacing w:before="80"/>
      <w:jc w:val="both"/>
    </w:pPr>
    <w:rPr>
      <w:rFonts w:ascii="Arial Narrow" w:hAnsi="Arial Narrow"/>
      <w:sz w:val="16"/>
      <w:szCs w:val="16"/>
      <w:lang w:eastAsia="ru-RU"/>
    </w:rPr>
  </w:style>
  <w:style w:type="paragraph" w:customStyle="1" w:styleId="a5">
    <w:name w:val="a5"/>
    <w:basedOn w:val="a"/>
    <w:rsid w:val="006F06F8"/>
    <w:rPr>
      <w:rFonts w:ascii="Arial" w:hAnsi="Arial" w:cs="Arial"/>
      <w:b/>
      <w:bCs/>
      <w:color w:val="FF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cid:image002.jpg@01D02E8F.55D83C60" TargetMode="External"/><Relationship Id="rId12" Type="http://schemas.openxmlformats.org/officeDocument/2006/relationships/hyperlink" Target="mailto:i.balalueva@alfacapita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02E8F.55D83C60" TargetMode="External"/><Relationship Id="rId5" Type="http://schemas.openxmlformats.org/officeDocument/2006/relationships/image" Target="cid:image001.jpg@01D02E8F.55D83C6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3.jpg@01D02E8F.55D83C60" TargetMode="External"/><Relationship Id="rId14" Type="http://schemas.openxmlformats.org/officeDocument/2006/relationships/image" Target="cid:image005.gif@01D02E8F.55D83C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2015-01-12T08:23:00Z</dcterms:created>
  <dcterms:modified xsi:type="dcterms:W3CDTF">2015-01-12T14:45:00Z</dcterms:modified>
</cp:coreProperties>
</file>