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030"/>
      </w:tblGrid>
      <w:tr w:rsidR="007D1ADC" w:rsidTr="007D1ADC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ADC" w:rsidRDefault="007D1ADC"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715000" cy="2095500"/>
                  <wp:effectExtent l="19050" t="0" r="0" b="0"/>
                  <wp:docPr id="1" name="Рисунок 1" descr="cid:image001.jpg@01D0149A.E4EA8C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jpg@01D0149A.E4EA8C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ADC" w:rsidTr="007D1ADC">
        <w:trPr>
          <w:trHeight w:val="80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43"/>
              <w:gridCol w:w="7585"/>
              <w:gridCol w:w="602"/>
            </w:tblGrid>
            <w:tr w:rsidR="007D1ADC">
              <w:trPr>
                <w:trHeight w:val="150"/>
                <w:tblCellSpacing w:w="0" w:type="dxa"/>
              </w:trPr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7D1ADC" w:rsidRDefault="007D1ADC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7560" w:type="dxa"/>
                  <w:shd w:val="clear" w:color="auto" w:fill="FFFFFF"/>
                  <w:vAlign w:val="center"/>
                  <w:hideMark/>
                </w:tcPr>
                <w:p w:rsidR="007D1ADC" w:rsidRDefault="007D1ADC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600" w:type="dxa"/>
                  <w:shd w:val="clear" w:color="auto" w:fill="FFFFFF"/>
                  <w:vAlign w:val="center"/>
                  <w:hideMark/>
                </w:tcPr>
                <w:p w:rsidR="007D1ADC" w:rsidRDefault="007D1ADC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</w:tr>
            <w:tr w:rsidR="007D1ADC">
              <w:trPr>
                <w:trHeight w:val="9666"/>
                <w:tblCellSpacing w:w="0" w:type="dxa"/>
              </w:trPr>
              <w:tc>
                <w:tcPr>
                  <w:tcW w:w="840" w:type="dxa"/>
                  <w:vAlign w:val="center"/>
                  <w:hideMark/>
                </w:tcPr>
                <w:p w:rsidR="007D1ADC" w:rsidRDefault="007D1ADC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7560" w:type="dxa"/>
                  <w:vAlign w:val="center"/>
                  <w:hideMark/>
                </w:tcPr>
                <w:p w:rsidR="007D1ADC" w:rsidRDefault="007D1ADC">
                  <w:pPr>
                    <w:spacing w:after="240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  <w:p w:rsidR="007D1ADC" w:rsidRDefault="007D1ADC">
                  <w:r>
                    <w:rPr>
                      <w:b/>
                      <w:bCs/>
                      <w:sz w:val="36"/>
                      <w:szCs w:val="36"/>
                    </w:rPr>
                    <w:t>Обзор международных финансовых рынков</w:t>
                  </w:r>
                </w:p>
                <w:p w:rsidR="007D1ADC" w:rsidRDefault="007D1ADC">
                  <w:pPr>
                    <w:spacing w:after="240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  <w:p w:rsidR="007D1ADC" w:rsidRDefault="007D1ADC"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Денис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Асаинов</w:t>
                  </w:r>
                  <w:proofErr w:type="spellEnd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,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br/>
                  </w:r>
                  <w:r>
                    <w:rPr>
                      <w:b/>
                      <w:bCs/>
                      <w:color w:val="FF0000"/>
                      <w:sz w:val="28"/>
                      <w:szCs w:val="28"/>
                    </w:rPr>
                    <w:t>аналитик УК «Альфа-Капитал»</w:t>
                  </w:r>
                </w:p>
                <w:p w:rsidR="007D1ADC" w:rsidRDefault="007D1ADC">
                  <w:r>
                    <w:t> </w:t>
                  </w:r>
                </w:p>
                <w:p w:rsidR="007D1ADC" w:rsidRDefault="007D1ADC">
                  <w:pPr>
                    <w:autoSpaceDE w:val="0"/>
                    <w:autoSpaceDN w:val="0"/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</w:rPr>
                    <w:t xml:space="preserve">1. ПРЕДНОВОГОДНИЙ SELL-OFF </w:t>
                  </w:r>
                </w:p>
                <w:p w:rsidR="007D1ADC" w:rsidRDefault="007D1ADC">
                  <w:pPr>
                    <w:autoSpaceDE w:val="0"/>
                    <w:autoSpaceDN w:val="0"/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</w:rPr>
                    <w:t> </w:t>
                  </w:r>
                </w:p>
                <w:p w:rsidR="007D1ADC" w:rsidRDefault="007D1ADC">
                  <w:pPr>
                    <w:autoSpaceDE w:val="0"/>
                    <w:autoSpaceDN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На российском рынке акций начались «предновогодние распродажи»: «рублевый» ММВБ за неделю потерял 7,2%, «долларовый РТС» опустился 9%. Рынок облигаций, как рублевых, так и евробондов, также находится под давлением – 5 летние CDS на Россию выросли до рекордных с 2009 года 400 пунктов. Мы связываем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негативное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динамику на российском рынке с желанием иностранных инвесторов закрыть позиции в рисковых активах в преддверии длинных праздников. И при этом все понимают, что активная торговля будет идти еще максимум полторы недели, а потом сначала католическое рождество, когда будут закрыты западные рынки, а затем длинные новогодние праздники, когда активность на российской стороне будет минимальной. </w:t>
                  </w:r>
                </w:p>
                <w:p w:rsidR="00E15504" w:rsidRDefault="00E15504">
                  <w:pPr>
                    <w:autoSpaceDE w:val="0"/>
                    <w:autoSpaceDN w:val="0"/>
                  </w:pPr>
                </w:p>
                <w:p w:rsidR="007D1ADC" w:rsidRDefault="007D1ADC">
                  <w:pPr>
                    <w:autoSpaceDE w:val="0"/>
                    <w:autoSpaceDN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Макроэкономическая статистика и особенно инфляция также особо не радуют. Тем не менее, на фоне ухудшений конъюнктуры фондового рынка в экономике Российская экономика все-таки демонстрирует, пусть слабые, признаки оживления. Продажи легковых автомобилей в ноябре в годовом выражении находились около нуля, что в текущих условиях не так уж плохо (например, в августе продажи падали на 25% г/г), рост железнодорожных перевозок, выше нуля. Выросла погрузка в морских портах, и даже гражданские авиаперевозки, несмотря на сокращение туристического потока, оказались в плюсе. </w:t>
                  </w:r>
                </w:p>
                <w:p w:rsidR="00E15504" w:rsidRDefault="00E15504">
                  <w:pPr>
                    <w:autoSpaceDE w:val="0"/>
                    <w:autoSpaceDN w:val="0"/>
                  </w:pPr>
                </w:p>
                <w:p w:rsidR="007D1ADC" w:rsidRDefault="007D1ADC">
                  <w:pPr>
                    <w:autoSpaceDE w:val="0"/>
                    <w:autoSpaceDN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Но все это пока лишь сигналы того, что российская экономика сохраняет жизнеспособность, несмотря на снижение цен на нефть и сильное ослабление рубля. То, что в следующем году на фоне снижения ВВП мы столкнемся со снижением реальных доходов и ростом безработицы, можно интерпретировать и в ином ключе: для российских компаний (не для всех, естественно) это возможность улучшить финансовые показатели, причем как за счет снижения издержек, так и расширения рынка сбыта. </w:t>
                  </w:r>
                </w:p>
                <w:p w:rsidR="00E15504" w:rsidRDefault="00E15504">
                  <w:pPr>
                    <w:autoSpaceDE w:val="0"/>
                    <w:autoSpaceDN w:val="0"/>
                  </w:pPr>
                </w:p>
                <w:p w:rsidR="007D1ADC" w:rsidRDefault="007D1ADC">
                  <w:pPr>
                    <w:autoSpaceDE w:val="0"/>
                    <w:autoSpaceDN w:val="0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lastRenderedPageBreak/>
                    <w:t xml:space="preserve">В структуре российского рынка акций более 60% - это компании экспортеры, чья рентабельность в условиях стабильный цен на сырье будет расти. Кроме того, на рынке могут появиться и новые идеи в виде компаний, ориентированных на внутренний спрос. </w:t>
                  </w:r>
                </w:p>
                <w:p w:rsidR="00E15504" w:rsidRDefault="00E15504">
                  <w:pPr>
                    <w:autoSpaceDE w:val="0"/>
                    <w:autoSpaceDN w:val="0"/>
                  </w:pPr>
                </w:p>
                <w:p w:rsidR="007D1ADC" w:rsidRDefault="007D1ADC">
                  <w:pPr>
                    <w:autoSpaceDE w:val="0"/>
                    <w:autoSpaceDN w:val="0"/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Наша стратегия в фондах акций в рублевом сегменте пока будет оставаться без изменений – это точечные идеи среди компаний-экспортеров, например, черные металлурги, производители минеральных удобрений и дивидендные истории в нефтегазовом секторе среди частных компаний. </w:t>
                  </w:r>
                </w:p>
                <w:p w:rsidR="007D1ADC" w:rsidRDefault="007D1ADC">
                  <w:pPr>
                    <w:autoSpaceDE w:val="0"/>
                    <w:autoSpaceDN w:val="0"/>
                  </w:pPr>
                  <w:r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  <w:p w:rsidR="007D1ADC" w:rsidRDefault="007D1ADC">
                  <w:pPr>
                    <w:autoSpaceDE w:val="0"/>
                    <w:autoSpaceDN w:val="0"/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</w:rPr>
                    <w:t xml:space="preserve">2. ПРОМЫШЛЕННЫЕ МЕТАЛЛЫ: РИСКИ СНИЖЕНИЯ </w:t>
                  </w:r>
                </w:p>
                <w:p w:rsidR="007D1ADC" w:rsidRDefault="007D1ADC">
                  <w:pPr>
                    <w:autoSpaceDE w:val="0"/>
                    <w:autoSpaceDN w:val="0"/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</w:rPr>
                    <w:t> </w:t>
                  </w:r>
                </w:p>
                <w:p w:rsidR="007D1ADC" w:rsidRDefault="007D1ADC">
                  <w:pPr>
                    <w:autoSpaceDE w:val="0"/>
                    <w:autoSpaceDN w:val="0"/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Снижение цен на нефть может распространиться и на другие сырьевые товары. Например, промышленные металлы, где есть проблемы со спросом, в частности, проблема снижения цен на недвижимость в Китае может, в случае сильного сокращения объемов строительства, привести к сильному снижению потребления промышленных металлов. </w:t>
                  </w:r>
                </w:p>
                <w:p w:rsidR="007D1ADC" w:rsidRDefault="007D1ADC">
                  <w:pPr>
                    <w:autoSpaceDE w:val="0"/>
                    <w:autoSpaceDN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Кроме того, если проблемы и на стороне предложения. Конечно, в отличие от нефти проблема новых мощностей не стоит так остро, с другой, учитывая сильную девальвацию валют стран-экспортеров (Индонезия, Бразилия, ЮАР, Австралия, Россия), у производителей есть возможность давать дисконт к долларовой цене. Тем более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что издержки производителей металлов из-за снижения цен на нефть также снизились. </w:t>
                  </w:r>
                </w:p>
                <w:p w:rsidR="00E15504" w:rsidRDefault="00E15504">
                  <w:pPr>
                    <w:autoSpaceDE w:val="0"/>
                    <w:autoSpaceDN w:val="0"/>
                  </w:pPr>
                </w:p>
                <w:p w:rsidR="007D1ADC" w:rsidRDefault="007D1ADC">
                  <w:pPr>
                    <w:autoSpaceDE w:val="0"/>
                    <w:autoSpaceDN w:val="0"/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В последние годы наблюдалась высокая корреляция между ценами на промышленные металлы и индексом MSCI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Emerging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Markets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 Поэтому снижение цен на промышленные металлы может привести и к коррекции в индексах развивающихся стран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. Поэтому мы предпочитаем пока держаться в стороне от развивающихся рынков. </w:t>
                  </w:r>
                </w:p>
                <w:p w:rsidR="007D1ADC" w:rsidRDefault="007D1ADC">
                  <w:pPr>
                    <w:autoSpaceDE w:val="0"/>
                    <w:autoSpaceDN w:val="0"/>
                  </w:pPr>
                  <w:r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  <w:p w:rsidR="007D1ADC" w:rsidRDefault="007D1ADC">
                  <w:pPr>
                    <w:autoSpaceDE w:val="0"/>
                    <w:autoSpaceDN w:val="0"/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</w:rPr>
                    <w:t xml:space="preserve">3. КРАТКОСРОЧНАЯ СТАБИЛИЗАЦИЯ РУБЛЯ </w:t>
                  </w:r>
                </w:p>
                <w:p w:rsidR="007D1ADC" w:rsidRDefault="007D1ADC">
                  <w:pPr>
                    <w:autoSpaceDE w:val="0"/>
                    <w:autoSpaceDN w:val="0"/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</w:rPr>
                    <w:t> </w:t>
                  </w:r>
                </w:p>
                <w:p w:rsidR="007D1ADC" w:rsidRDefault="007D1ADC">
                  <w:pPr>
                    <w:autoSpaceDE w:val="0"/>
                    <w:autoSpaceDN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Курс доллара закрепился на уровне 54 руб.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бивалютная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корзина на уровне 60 руб.) и не идет выше, несмотря на снижение цен на нефть 5,74% за последнюю неделю. Причина – действия ЦБ (возобновление интервенций), а также дефицит рублевой ликвидности (рублевая ставка NDF в коротком сегменте выросла до 24%). Кроме того, в пятницу ЦБ может еще повысить ключевую ставку, дав очередной сигнал для закрытия позиций против рубля. </w:t>
                  </w:r>
                </w:p>
                <w:p w:rsidR="00E15504" w:rsidRDefault="00E15504">
                  <w:pPr>
                    <w:autoSpaceDE w:val="0"/>
                    <w:autoSpaceDN w:val="0"/>
                  </w:pPr>
                </w:p>
                <w:p w:rsidR="007D1ADC" w:rsidRDefault="007D1ADC">
                  <w:pPr>
                    <w:autoSpaceDE w:val="0"/>
                    <w:autoSpaceDN w:val="0"/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При текущих ценах на нефть курс рубля с определенными допущениями можно назвать справедливым, а с учетом активности ЦБ и, возможно, принятия новых мер поддержки рубля в пятницу, рубль может даже игнорировать снижение цен на нефть еще на пару долларов. </w:t>
                  </w:r>
                </w:p>
                <w:p w:rsidR="007D1ADC" w:rsidRDefault="007D1ADC"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Еще одна хорошая новость для рубля – это то, что до конца декабря осталось менее 3 недель, а дальше график погашений внешнего долга будет менее напряженным, что также должно поддержать рубль. 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D1ADC" w:rsidRDefault="007D1ADC"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</w:tr>
          </w:tbl>
          <w:p w:rsidR="007D1ADC" w:rsidRDefault="007D1ADC">
            <w:pPr>
              <w:spacing w:line="80" w:lineRule="atLeast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br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715000" cy="762000"/>
                  <wp:effectExtent l="19050" t="0" r="0" b="0"/>
                  <wp:docPr id="2" name="Рисунок 2" descr="cid:image002.gif@01D0149A.E4EA8C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2.gif@01D0149A.E4EA8C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1ADC" w:rsidRPr="00926483" w:rsidRDefault="007D1ADC" w:rsidP="00E15504">
      <w:pPr>
        <w:pStyle w:val="default"/>
      </w:pPr>
      <w:r>
        <w:lastRenderedPageBreak/>
        <w:t> </w:t>
      </w:r>
    </w:p>
    <w:sectPr w:rsidR="007D1ADC" w:rsidRPr="00926483" w:rsidSect="00E63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960"/>
    <w:rsid w:val="0018021D"/>
    <w:rsid w:val="0024190F"/>
    <w:rsid w:val="002E1960"/>
    <w:rsid w:val="00346829"/>
    <w:rsid w:val="004168DA"/>
    <w:rsid w:val="005F0E2B"/>
    <w:rsid w:val="0071666C"/>
    <w:rsid w:val="007D1ADC"/>
    <w:rsid w:val="007D7477"/>
    <w:rsid w:val="00926483"/>
    <w:rsid w:val="00A35644"/>
    <w:rsid w:val="00D22755"/>
    <w:rsid w:val="00E15504"/>
    <w:rsid w:val="00E6305F"/>
    <w:rsid w:val="00E75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ADC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-fake-urlt1">
    <w:name w:val="f-fake-url__t1"/>
    <w:basedOn w:val="a0"/>
    <w:rsid w:val="002E1960"/>
    <w:rPr>
      <w:color w:val="000000"/>
    </w:rPr>
  </w:style>
  <w:style w:type="character" w:customStyle="1" w:styleId="f-fake-urlu1">
    <w:name w:val="f-fake-url__u1"/>
    <w:basedOn w:val="a0"/>
    <w:rsid w:val="002E1960"/>
    <w:rPr>
      <w:u w:val="single"/>
    </w:rPr>
  </w:style>
  <w:style w:type="paragraph" w:styleId="a3">
    <w:name w:val="Plain Text"/>
    <w:basedOn w:val="a"/>
    <w:link w:val="a4"/>
    <w:uiPriority w:val="99"/>
    <w:semiHidden/>
    <w:unhideWhenUsed/>
    <w:rsid w:val="005F0E2B"/>
    <w:rPr>
      <w:rFonts w:ascii="Consolas" w:hAnsi="Consolas" w:cs="Consolas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semiHidden/>
    <w:rsid w:val="005F0E2B"/>
    <w:rPr>
      <w:rFonts w:ascii="Consolas" w:hAnsi="Consolas" w:cs="Consolas"/>
      <w:sz w:val="21"/>
      <w:szCs w:val="21"/>
    </w:rPr>
  </w:style>
  <w:style w:type="character" w:styleId="a5">
    <w:name w:val="Hyperlink"/>
    <w:basedOn w:val="a0"/>
    <w:uiPriority w:val="99"/>
    <w:unhideWhenUsed/>
    <w:rsid w:val="0018021D"/>
    <w:rPr>
      <w:color w:val="0000FF"/>
      <w:u w:val="single"/>
    </w:rPr>
  </w:style>
  <w:style w:type="character" w:styleId="a6">
    <w:name w:val="Strong"/>
    <w:basedOn w:val="a0"/>
    <w:uiPriority w:val="22"/>
    <w:qFormat/>
    <w:rsid w:val="0018021D"/>
    <w:rPr>
      <w:b/>
      <w:bCs/>
    </w:rPr>
  </w:style>
  <w:style w:type="paragraph" w:styleId="a7">
    <w:name w:val="Normal (Web)"/>
    <w:basedOn w:val="a"/>
    <w:uiPriority w:val="99"/>
    <w:unhideWhenUsed/>
    <w:rsid w:val="0092648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basedOn w:val="a"/>
    <w:rsid w:val="007D1ADC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D1A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1AD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7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78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6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2.gif@01D0149A.E4EA8C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cid:image001.jpg@01D0149A.E4EA8C0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Savochkina</dc:creator>
  <cp:lastModifiedBy>Savochkina</cp:lastModifiedBy>
  <cp:revision>1</cp:revision>
  <dcterms:created xsi:type="dcterms:W3CDTF">2014-12-10T10:10:00Z</dcterms:created>
  <dcterms:modified xsi:type="dcterms:W3CDTF">2014-12-10T14:09:00Z</dcterms:modified>
</cp:coreProperties>
</file>