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9" w:type="dxa"/>
        <w:tblCellSpacing w:w="0" w:type="dxa"/>
        <w:tblInd w:w="-709" w:type="dxa"/>
        <w:tblCellMar>
          <w:left w:w="0" w:type="dxa"/>
          <w:right w:w="0" w:type="dxa"/>
        </w:tblCellMar>
        <w:tblLook w:val="04A0"/>
      </w:tblPr>
      <w:tblGrid>
        <w:gridCol w:w="11239"/>
      </w:tblGrid>
      <w:tr w:rsidR="00172429" w:rsidTr="00172429">
        <w:trPr>
          <w:tblCellSpacing w:w="0" w:type="dxa"/>
        </w:trPr>
        <w:tc>
          <w:tcPr>
            <w:tcW w:w="11239" w:type="dxa"/>
            <w:vAlign w:val="center"/>
            <w:hideMark/>
          </w:tcPr>
          <w:p w:rsidR="00172429" w:rsidRDefault="00172429">
            <w:pPr>
              <w:rPr>
                <w:rFonts w:ascii="Calibri" w:hAnsi="Calibri"/>
                <w:lang w:eastAsia="en-US"/>
              </w:rPr>
            </w:pPr>
            <w:r>
              <w:rPr>
                <w:noProof/>
              </w:rPr>
              <w:drawing>
                <wp:inline distT="0" distB="0" distL="0" distR="0">
                  <wp:extent cx="7000875" cy="2521540"/>
                  <wp:effectExtent l="19050" t="0" r="9525" b="0"/>
                  <wp:docPr id="1" name="Рисунок 8" descr="cid:image001.jpg@01CEF597.6F01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id:image001.jpg@01CEF597.6F018340"/>
                          <pic:cNvPicPr>
                            <a:picLocks noChangeAspect="1" noChangeArrowheads="1"/>
                          </pic:cNvPicPr>
                        </pic:nvPicPr>
                        <pic:blipFill>
                          <a:blip r:embed="rId4" r:link="rId5" cstate="print"/>
                          <a:srcRect/>
                          <a:stretch>
                            <a:fillRect/>
                          </a:stretch>
                        </pic:blipFill>
                        <pic:spPr bwMode="auto">
                          <a:xfrm>
                            <a:off x="0" y="0"/>
                            <a:ext cx="7000875" cy="2521540"/>
                          </a:xfrm>
                          <a:prstGeom prst="rect">
                            <a:avLst/>
                          </a:prstGeom>
                          <a:noFill/>
                          <a:ln w="9525">
                            <a:noFill/>
                            <a:miter lim="800000"/>
                            <a:headEnd/>
                            <a:tailEnd/>
                          </a:ln>
                        </pic:spPr>
                      </pic:pic>
                    </a:graphicData>
                  </a:graphic>
                </wp:inline>
              </w:drawing>
            </w:r>
          </w:p>
        </w:tc>
      </w:tr>
      <w:tr w:rsidR="00172429" w:rsidTr="00172429">
        <w:trPr>
          <w:tblCellSpacing w:w="0" w:type="dxa"/>
        </w:trPr>
        <w:tc>
          <w:tcPr>
            <w:tcW w:w="11239" w:type="dxa"/>
            <w:shd w:val="clear" w:color="auto" w:fill="F5F5F5"/>
            <w:vAlign w:val="center"/>
            <w:hideMark/>
          </w:tcPr>
          <w:tbl>
            <w:tblPr>
              <w:tblW w:w="5000" w:type="pct"/>
              <w:tblCellSpacing w:w="0" w:type="dxa"/>
              <w:tblCellMar>
                <w:left w:w="0" w:type="dxa"/>
                <w:right w:w="0" w:type="dxa"/>
              </w:tblCellMar>
              <w:tblLook w:val="04A0"/>
            </w:tblPr>
            <w:tblGrid>
              <w:gridCol w:w="822"/>
              <w:gridCol w:w="10411"/>
              <w:gridCol w:w="6"/>
            </w:tblGrid>
            <w:tr w:rsidR="00172429" w:rsidTr="00172429">
              <w:trPr>
                <w:tblCellSpacing w:w="0" w:type="dxa"/>
              </w:trPr>
              <w:tc>
                <w:tcPr>
                  <w:tcW w:w="822" w:type="dxa"/>
                  <w:vAlign w:val="center"/>
                  <w:hideMark/>
                </w:tcPr>
                <w:p w:rsidR="00172429" w:rsidRDefault="00172429">
                  <w:pPr>
                    <w:rPr>
                      <w:rFonts w:asciiTheme="minorHAnsi" w:eastAsiaTheme="minorEastAsia" w:hAnsiTheme="minorHAnsi" w:cstheme="minorBidi"/>
                      <w:sz w:val="22"/>
                      <w:szCs w:val="22"/>
                    </w:rPr>
                  </w:pPr>
                </w:p>
              </w:tc>
              <w:tc>
                <w:tcPr>
                  <w:tcW w:w="10411" w:type="dxa"/>
                  <w:vAlign w:val="center"/>
                  <w:hideMark/>
                </w:tcPr>
                <w:tbl>
                  <w:tblPr>
                    <w:tblW w:w="5000" w:type="pct"/>
                    <w:tblCellSpacing w:w="0" w:type="dxa"/>
                    <w:tblCellMar>
                      <w:left w:w="0" w:type="dxa"/>
                      <w:right w:w="0" w:type="dxa"/>
                    </w:tblCellMar>
                    <w:tblLook w:val="04A0"/>
                  </w:tblPr>
                  <w:tblGrid>
                    <w:gridCol w:w="9811"/>
                    <w:gridCol w:w="600"/>
                  </w:tblGrid>
                  <w:tr w:rsidR="00172429">
                    <w:trPr>
                      <w:tblCellSpacing w:w="0" w:type="dxa"/>
                    </w:trPr>
                    <w:tc>
                      <w:tcPr>
                        <w:tcW w:w="0" w:type="auto"/>
                        <w:vAlign w:val="center"/>
                      </w:tcPr>
                      <w:p w:rsidR="00172429" w:rsidRDefault="00172429">
                        <w:pPr>
                          <w:rPr>
                            <w:b/>
                            <w:bCs/>
                            <w:sz w:val="36"/>
                            <w:szCs w:val="36"/>
                          </w:rPr>
                        </w:pPr>
                        <w:r>
                          <w:rPr>
                            <w:b/>
                            <w:bCs/>
                            <w:sz w:val="36"/>
                            <w:szCs w:val="36"/>
                          </w:rPr>
                          <w:t>Рынок акций</w:t>
                        </w:r>
                      </w:p>
                      <w:p w:rsidR="00172429" w:rsidRDefault="00172429" w:rsidP="00172429">
                        <w:pPr>
                          <w:spacing w:after="240"/>
                        </w:pPr>
                        <w:r>
                          <w:rPr>
                            <w:noProof/>
                          </w:rPr>
                          <w:drawing>
                            <wp:inline distT="0" distB="0" distL="0" distR="0">
                              <wp:extent cx="1047750" cy="1047750"/>
                              <wp:effectExtent l="19050" t="0" r="0" b="0"/>
                              <wp:docPr id="7" name="Рисунок 19"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id:image002.jpg@01CE7D8D.1A6B3F60"/>
                                      <pic:cNvPicPr>
                                        <a:picLocks noChangeAspect="1" noChangeArrowheads="1"/>
                                      </pic:cNvPicPr>
                                    </pic:nvPicPr>
                                    <pic:blipFill>
                                      <a:blip r:embed="rId6" r:link="rId7"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p w:rsidR="00172429" w:rsidRDefault="00172429" w:rsidP="00172429">
                        <w:pPr>
                          <w:rPr>
                            <w:rFonts w:ascii="Calibri" w:hAnsi="Calibri"/>
                            <w:b/>
                            <w:bCs/>
                            <w:sz w:val="28"/>
                            <w:szCs w:val="28"/>
                          </w:rPr>
                        </w:pPr>
                        <w:r>
                          <w:rPr>
                            <w:b/>
                            <w:bCs/>
                            <w:sz w:val="28"/>
                            <w:szCs w:val="28"/>
                          </w:rPr>
                          <w:t>Владимир Брагин, директор по анализу финансовых рынков и макроэкономики УК «Альфа-Капитал»</w:t>
                        </w:r>
                      </w:p>
                      <w:p w:rsidR="00172429" w:rsidRDefault="00172429" w:rsidP="00172429">
                        <w:pPr>
                          <w:rPr>
                            <w:sz w:val="22"/>
                            <w:szCs w:val="22"/>
                            <w:lang w:eastAsia="en-US"/>
                          </w:rPr>
                        </w:pPr>
                      </w:p>
                      <w:p w:rsidR="00172429" w:rsidRDefault="00172429" w:rsidP="00172429">
                        <w:r>
                          <w:t xml:space="preserve">   Если декабрь и считается благоприятным месяцем для инвестирования в акции, то первая его неделя в этом году заставила сильно в этом усомниться. Индекс ММВБ с понедельника по четверг просел на 3,4%, и только отскок в пятницу позволил ему закрыть неделю в минусе "всего" на 2,1%. Примечательно, что лидером на отскоке стала электроэнергетика, соответствующий индекс ММВБ по итогам недели вырос на 5% на покупках 12,49% пакета акций </w:t>
                        </w:r>
                        <w:proofErr w:type="spellStart"/>
                        <w:r>
                          <w:t>ИнтерРАО</w:t>
                        </w:r>
                        <w:proofErr w:type="spellEnd"/>
                        <w:r>
                          <w:t xml:space="preserve"> </w:t>
                        </w:r>
                        <w:proofErr w:type="spellStart"/>
                        <w:r>
                          <w:t>Роснефтегазом</w:t>
                        </w:r>
                        <w:proofErr w:type="spellEnd"/>
                        <w:r>
                          <w:t xml:space="preserve">. </w:t>
                        </w:r>
                      </w:p>
                      <w:p w:rsidR="00172429" w:rsidRDefault="00172429" w:rsidP="00172429">
                        <w:r>
                          <w:t xml:space="preserve">   Впрочем, целиком относить пятничный рост на внутренние факторы мы бы не стали. </w:t>
                        </w:r>
                        <w:r>
                          <w:br/>
                          <w:t xml:space="preserve">И </w:t>
                        </w:r>
                        <w:r>
                          <w:rPr>
                            <w:lang w:val="en-US"/>
                          </w:rPr>
                          <w:t>S</w:t>
                        </w:r>
                        <w:r>
                          <w:t>&amp;</w:t>
                        </w:r>
                        <w:r>
                          <w:rPr>
                            <w:lang w:val="en-US"/>
                          </w:rPr>
                          <w:t>P</w:t>
                        </w:r>
                        <w:r>
                          <w:t xml:space="preserve"> 500, и европейские площадки в течение недели демонстрировали похожую картину: снижение в течение недели и отскок в пятницу.</w:t>
                        </w:r>
                      </w:p>
                      <w:p w:rsidR="00172429" w:rsidRDefault="00172429" w:rsidP="00172429">
                        <w:r>
                          <w:t xml:space="preserve">   Приятный сюрприз преподнесли данные по ВВП США, в частности по ВВП, оценка роста которого в </w:t>
                        </w:r>
                        <w:r>
                          <w:rPr>
                            <w:lang w:val="en-US"/>
                          </w:rPr>
                          <w:t>III</w:t>
                        </w:r>
                        <w:r w:rsidRPr="00172429">
                          <w:t xml:space="preserve"> </w:t>
                        </w:r>
                        <w:r>
                          <w:t>квартале была повышена с 3,1 до 3,6%. Это хорошо легло на вышедшую накануне ночью "Бежевую книгу" ФРС, где отмечалось продолжение роста экономики в большинстве округов, на фоне слабого роста издержек и низкого инфляционного давления.</w:t>
                        </w:r>
                      </w:p>
                      <w:p w:rsidR="00172429" w:rsidRDefault="00172429" w:rsidP="00172429">
                        <w:r>
                          <w:t xml:space="preserve">   Еще один приятный сюрприз пришел из Китая, где чистый экспорт в ноябре оказался максимальным за четыре года. И хотя это может быть тревожным сигналом того, что экономическая модель страны пока остается без изменений, краткосрочно это может оказать поддержку ценам на нефть и металлы. А это уже поможет нашему рынку все-таки доказать, что декабрь – хороший месяц для инвестирования в акции.</w:t>
                        </w:r>
                      </w:p>
                      <w:p w:rsidR="00172429" w:rsidRDefault="00172429">
                        <w:pPr>
                          <w:rPr>
                            <w:rFonts w:ascii="Calibri" w:hAnsi="Calibri"/>
                            <w:b/>
                            <w:bCs/>
                            <w:sz w:val="36"/>
                            <w:szCs w:val="36"/>
                            <w:lang w:eastAsia="en-US"/>
                          </w:rPr>
                        </w:pPr>
                      </w:p>
                      <w:p w:rsidR="00172429" w:rsidRDefault="00172429">
                        <w:pPr>
                          <w:spacing w:after="240"/>
                        </w:pPr>
                        <w:r>
                          <w:rPr>
                            <w:noProof/>
                          </w:rPr>
                          <w:lastRenderedPageBreak/>
                          <w:drawing>
                            <wp:inline distT="0" distB="0" distL="0" distR="0">
                              <wp:extent cx="1190625" cy="1190625"/>
                              <wp:effectExtent l="19050" t="0" r="9525" b="0"/>
                              <wp:docPr id="2" name="Рисунок 16" descr="cid:image002.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id:image002.jpg@01CE7BFE.B94C5460"/>
                                      <pic:cNvPicPr>
                                        <a:picLocks noChangeAspect="1" noChangeArrowheads="1"/>
                                      </pic:cNvPicPr>
                                    </pic:nvPicPr>
                                    <pic:blipFill>
                                      <a:blip r:embed="rId8" r:link="rId9"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172429" w:rsidRPr="00172429" w:rsidRDefault="00172429">
                        <w:pPr>
                          <w:rPr>
                            <w:rFonts w:ascii="Calibri" w:hAnsi="Calibri"/>
                            <w:b/>
                            <w:bCs/>
                            <w:sz w:val="28"/>
                            <w:szCs w:val="28"/>
                          </w:rPr>
                        </w:pPr>
                        <w:r>
                          <w:rPr>
                            <w:b/>
                            <w:bCs/>
                            <w:sz w:val="28"/>
                            <w:szCs w:val="28"/>
                          </w:rPr>
                          <w:t xml:space="preserve">Регина </w:t>
                        </w:r>
                        <w:proofErr w:type="spellStart"/>
                        <w:r>
                          <w:rPr>
                            <w:b/>
                            <w:bCs/>
                            <w:sz w:val="28"/>
                            <w:szCs w:val="28"/>
                          </w:rPr>
                          <w:t>Гирфанова</w:t>
                        </w:r>
                        <w:proofErr w:type="spellEnd"/>
                        <w:r>
                          <w:rPr>
                            <w:b/>
                            <w:bCs/>
                            <w:sz w:val="28"/>
                            <w:szCs w:val="28"/>
                          </w:rPr>
                          <w:t>, портфельный управляющий УК «Альфа-Капитал»</w:t>
                        </w:r>
                      </w:p>
                      <w:p w:rsidR="00172429" w:rsidRPr="00172429" w:rsidRDefault="00172429">
                        <w:pPr>
                          <w:rPr>
                            <w:b/>
                            <w:bCs/>
                            <w:sz w:val="22"/>
                            <w:szCs w:val="22"/>
                          </w:rPr>
                        </w:pPr>
                      </w:p>
                      <w:p w:rsidR="00172429" w:rsidRDefault="00172429">
                        <w:r>
                          <w:t xml:space="preserve">   Прошлая неделя была довольно спокойной для рынка, за исключением отдельных историй. Неожиданно на радары инвесторов вышел сектор электроэнергетики, причем широким фронтом. Как всегда, типично для российского рынка, рост начался по всему спектру бумаг, на хороших объемах и, как всегда, без новостей. Позднее стали просачиваться новости: CEO </w:t>
                        </w:r>
                        <w:proofErr w:type="spellStart"/>
                        <w:r>
                          <w:t>Россетей</w:t>
                        </w:r>
                        <w:proofErr w:type="spellEnd"/>
                        <w:r>
                          <w:t xml:space="preserve"> объявил о возможности передавать активы  в управление западным и российским компаниям; </w:t>
                        </w:r>
                        <w:proofErr w:type="spellStart"/>
                        <w:r>
                          <w:t>Роснефтегаз</w:t>
                        </w:r>
                        <w:proofErr w:type="spellEnd"/>
                        <w:r>
                          <w:t xml:space="preserve"> покупает пакет </w:t>
                        </w:r>
                        <w:proofErr w:type="spellStart"/>
                        <w:r>
                          <w:t>Росатома</w:t>
                        </w:r>
                        <w:proofErr w:type="spellEnd"/>
                        <w:r>
                          <w:t xml:space="preserve"> в </w:t>
                        </w:r>
                        <w:proofErr w:type="spellStart"/>
                        <w:r>
                          <w:t>ИнтерРАО</w:t>
                        </w:r>
                        <w:proofErr w:type="spellEnd"/>
                        <w:r>
                          <w:t xml:space="preserve">. В </w:t>
                        </w:r>
                        <w:proofErr w:type="gramStart"/>
                        <w:r>
                          <w:t>общем</w:t>
                        </w:r>
                        <w:proofErr w:type="gramEnd"/>
                        <w:r>
                          <w:t xml:space="preserve"> сектор был лучшим на прошлой неделе.</w:t>
                        </w:r>
                      </w:p>
                      <w:p w:rsidR="00172429" w:rsidRDefault="00172429">
                        <w:r>
                          <w:t xml:space="preserve">   В Газпроме тоже случился конфуз: в один из дней на прошлой неделе все СМИ процитировали Д. Медведева о передаче части сочинских объектов Газпрому, которые будут оплачены </w:t>
                        </w:r>
                        <w:proofErr w:type="spellStart"/>
                        <w:r>
                          <w:t>допэмиссией</w:t>
                        </w:r>
                        <w:proofErr w:type="spellEnd"/>
                        <w:r>
                          <w:t xml:space="preserve">. Рынок отреагировал ожидаемо негативно, однако по мере прояснения ситуации рынок осознал, что реакция была чрезмерной. Впрочем, так как до конца года ожидается еще разрешение ситуации с Украиной, а также прояснение по китайским контрактам, инвесторы не спешили откупать </w:t>
                        </w:r>
                        <w:proofErr w:type="gramStart"/>
                        <w:r>
                          <w:t>подешевевший</w:t>
                        </w:r>
                        <w:proofErr w:type="gramEnd"/>
                        <w:r>
                          <w:t xml:space="preserve"> Газпром.</w:t>
                        </w:r>
                      </w:p>
                      <w:p w:rsidR="00172429" w:rsidRDefault="00172429">
                        <w:r>
                          <w:t xml:space="preserve">   На минувшей неделе отчитался Аэрофлот. Отчетность оказалась лучше ожиданий, да еще инвесторы вспомнили, что в акциях больше нет навеса предложения. За прошлую неделю акции прибавили около 20%.</w:t>
                        </w:r>
                      </w:p>
                      <w:p w:rsidR="00172429" w:rsidRDefault="00172429">
                        <w:pPr>
                          <w:rPr>
                            <w:sz w:val="22"/>
                            <w:szCs w:val="22"/>
                          </w:rPr>
                        </w:pPr>
                      </w:p>
                      <w:p w:rsidR="00172429" w:rsidRDefault="00172429"/>
                      <w:p w:rsidR="00172429" w:rsidRDefault="00172429">
                        <w:pPr>
                          <w:rPr>
                            <w:b/>
                            <w:bCs/>
                            <w:sz w:val="36"/>
                            <w:szCs w:val="36"/>
                          </w:rPr>
                        </w:pPr>
                        <w:r>
                          <w:rPr>
                            <w:b/>
                            <w:bCs/>
                            <w:sz w:val="36"/>
                            <w:szCs w:val="36"/>
                          </w:rPr>
                          <w:t>Рынок облигаций</w:t>
                        </w:r>
                      </w:p>
                      <w:p w:rsidR="00172429" w:rsidRDefault="00172429">
                        <w:pPr>
                          <w:spacing w:after="240"/>
                        </w:pPr>
                        <w:r>
                          <w:rPr>
                            <w:noProof/>
                          </w:rPr>
                          <w:drawing>
                            <wp:inline distT="0" distB="0" distL="0" distR="0">
                              <wp:extent cx="1190625" cy="1190625"/>
                              <wp:effectExtent l="19050" t="0" r="9525" b="0"/>
                              <wp:docPr id="4" name="Рисунок 17"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id:image004.jpg@01CE7BFE.B94C546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172429" w:rsidRDefault="00172429">
                        <w:pPr>
                          <w:rPr>
                            <w:rFonts w:ascii="Calibri" w:hAnsi="Calibri"/>
                            <w:b/>
                            <w:bCs/>
                            <w:sz w:val="28"/>
                            <w:szCs w:val="28"/>
                          </w:rPr>
                        </w:pPr>
                        <w:r>
                          <w:rPr>
                            <w:b/>
                            <w:bCs/>
                            <w:sz w:val="28"/>
                            <w:szCs w:val="28"/>
                          </w:rPr>
                          <w:t xml:space="preserve">Алексей </w:t>
                        </w:r>
                        <w:proofErr w:type="spellStart"/>
                        <w:r>
                          <w:rPr>
                            <w:b/>
                            <w:bCs/>
                            <w:sz w:val="28"/>
                            <w:szCs w:val="28"/>
                          </w:rPr>
                          <w:t>Губин</w:t>
                        </w:r>
                        <w:proofErr w:type="spellEnd"/>
                        <w:r>
                          <w:rPr>
                            <w:b/>
                            <w:bCs/>
                            <w:sz w:val="28"/>
                            <w:szCs w:val="28"/>
                          </w:rPr>
                          <w:t>,  аналитик УК «Альфа-Капитал»</w:t>
                        </w:r>
                      </w:p>
                      <w:p w:rsidR="00172429" w:rsidRDefault="00172429">
                        <w:pPr>
                          <w:rPr>
                            <w:sz w:val="22"/>
                            <w:szCs w:val="22"/>
                          </w:rPr>
                        </w:pPr>
                      </w:p>
                      <w:p w:rsidR="00172429" w:rsidRDefault="00172429">
                        <w:r>
                          <w:t xml:space="preserve">   Прошлая неделя была богата на события: опубликование «Бежевой книги», пересмотр данных по ВВП за </w:t>
                        </w:r>
                        <w:r>
                          <w:rPr>
                            <w:lang w:val="en-US"/>
                          </w:rPr>
                          <w:t>III</w:t>
                        </w:r>
                        <w:r w:rsidRPr="00172429">
                          <w:t xml:space="preserve"> </w:t>
                        </w:r>
                        <w:r>
                          <w:t xml:space="preserve">квартал 2013 года и пятничные данные по рынку труда в США. В четверг доходность </w:t>
                        </w:r>
                        <w:r>
                          <w:rPr>
                            <w:lang w:val="en-US"/>
                          </w:rPr>
                          <w:t>UST</w:t>
                        </w:r>
                        <w:r>
                          <w:t xml:space="preserve">10 доходила до 2,92% после «Бежевой книги» и данных по ВВП. На позитивные данные по рынку труда инвесторы уже не отреагировали каким-либо негативом, а даже напротив – закрывались 10-летние </w:t>
                        </w:r>
                        <w:proofErr w:type="spellStart"/>
                        <w:r>
                          <w:t>гособлигации</w:t>
                        </w:r>
                        <w:proofErr w:type="spellEnd"/>
                        <w:r>
                          <w:t xml:space="preserve"> США с доходностью 2,86%. 17–18 декабря пройдет заседание ФРС США – последний шанс в этом году начать сокращение </w:t>
                        </w:r>
                        <w:r>
                          <w:rPr>
                            <w:lang w:val="en-US"/>
                          </w:rPr>
                          <w:t>QE</w:t>
                        </w:r>
                        <w:r>
                          <w:t>. Высоко вероятно, что участники рынка предпочтут дождаться решения ФРС, и, учитывая приближение праздников, активность на рынке евробондов и локального долга будет минимальной.</w:t>
                        </w:r>
                      </w:p>
                      <w:p w:rsidR="00172429" w:rsidRDefault="00172429">
                        <w:r>
                          <w:t xml:space="preserve">   Рынок рублевых облигаций  снова разделился на сегменты, в которых движения были </w:t>
                        </w:r>
                        <w:r>
                          <w:lastRenderedPageBreak/>
                          <w:t>разнонаправлены. Небольшой отскок в сегменте ОФЗ. Длинный край кривой доходности снизился примерно на 0,1% (ОФЗ 26207 отскочила с уровня доходности 8,1%, на текущий момент торгуется примерно 7,95%). Банковский сектор "второго-третьего эшелонов" по-прежнему чувствует себя очень слабо, что является результатом отзыва лицензии Мастер-банка и опасений инвесторов, что ЦБ на этом не остановится.</w:t>
                        </w:r>
                      </w:p>
                      <w:p w:rsidR="00172429" w:rsidRDefault="00172429"/>
                      <w:p w:rsidR="00172429" w:rsidRDefault="00172429">
                        <w:pPr>
                          <w:rPr>
                            <w:b/>
                            <w:bCs/>
                            <w:sz w:val="36"/>
                            <w:szCs w:val="36"/>
                          </w:rPr>
                        </w:pPr>
                        <w:r>
                          <w:rPr>
                            <w:b/>
                            <w:bCs/>
                            <w:sz w:val="36"/>
                            <w:szCs w:val="36"/>
                          </w:rPr>
                          <w:t>Рынок сырьевых товаров</w:t>
                        </w:r>
                      </w:p>
                      <w:p w:rsidR="00172429" w:rsidRDefault="00172429">
                        <w:pPr>
                          <w:spacing w:after="240"/>
                        </w:pPr>
                        <w:r>
                          <w:rPr>
                            <w:noProof/>
                          </w:rPr>
                          <w:drawing>
                            <wp:inline distT="0" distB="0" distL="0" distR="0">
                              <wp:extent cx="1190625" cy="1190625"/>
                              <wp:effectExtent l="19050" t="0" r="9525" b="0"/>
                              <wp:docPr id="5" name="Рисунок 18" descr="cid:image005.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id:image005.jpg@01CE7BFE.B94C5460"/>
                                      <pic:cNvPicPr>
                                        <a:picLocks noChangeAspect="1" noChangeArrowheads="1"/>
                                      </pic:cNvPicPr>
                                    </pic:nvPicPr>
                                    <pic:blipFill>
                                      <a:blip r:embed="rId12" r:link="rId13"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172429" w:rsidRDefault="00172429">
                        <w:pPr>
                          <w:rPr>
                            <w:rFonts w:ascii="Calibri" w:hAnsi="Calibri"/>
                            <w:b/>
                            <w:bCs/>
                            <w:sz w:val="28"/>
                            <w:szCs w:val="28"/>
                          </w:rPr>
                        </w:pPr>
                        <w:r>
                          <w:rPr>
                            <w:b/>
                            <w:bCs/>
                            <w:sz w:val="28"/>
                            <w:szCs w:val="28"/>
                          </w:rPr>
                          <w:t xml:space="preserve">Дмитрий </w:t>
                        </w:r>
                        <w:proofErr w:type="spellStart"/>
                        <w:r>
                          <w:rPr>
                            <w:b/>
                            <w:bCs/>
                            <w:sz w:val="28"/>
                            <w:szCs w:val="28"/>
                          </w:rPr>
                          <w:t>Чернядьев</w:t>
                        </w:r>
                        <w:proofErr w:type="spellEnd"/>
                        <w:r>
                          <w:rPr>
                            <w:b/>
                            <w:bCs/>
                            <w:sz w:val="28"/>
                            <w:szCs w:val="28"/>
                          </w:rPr>
                          <w:t>, аналитик УК «Альфа-Капитал»</w:t>
                        </w:r>
                      </w:p>
                      <w:p w:rsidR="00172429" w:rsidRPr="00172429" w:rsidRDefault="00172429">
                        <w:pPr>
                          <w:rPr>
                            <w:sz w:val="22"/>
                            <w:szCs w:val="22"/>
                          </w:rPr>
                        </w:pPr>
                      </w:p>
                      <w:p w:rsidR="00172429" w:rsidRDefault="00172429">
                        <w:r>
                          <w:t xml:space="preserve">   Золото в первой неделе декабря продолжило снижение, потеряв еще 1,3%.  На него по-прежнему давят хорошие данные по экономике и  рынку труда США, </w:t>
                        </w:r>
                        <w:proofErr w:type="spellStart"/>
                        <w:r>
                          <w:t>усилиливающие</w:t>
                        </w:r>
                        <w:proofErr w:type="spellEnd"/>
                        <w:r>
                          <w:t xml:space="preserve"> ожидания скорого сокращения QE3. Инвесторы продолжают резать длинные позиции в золоте, что </w:t>
                        </w:r>
                        <w:proofErr w:type="gramStart"/>
                        <w:r>
                          <w:t>вылилось</w:t>
                        </w:r>
                        <w:proofErr w:type="gramEnd"/>
                        <w:r>
                          <w:t xml:space="preserve"> в том числе в сокращение  объемов золота в физических ETF. </w:t>
                        </w:r>
                      </w:p>
                      <w:p w:rsidR="00172429" w:rsidRDefault="00172429">
                        <w:r>
                          <w:t xml:space="preserve">Отметка 1200 долл. в золоте является крайне важной, так как именно около нее, по нашим оценкам, был сформирован значительный объем позиций в ETF. Если уровень не </w:t>
                        </w:r>
                        <w:proofErr w:type="gramStart"/>
                        <w:r>
                          <w:t xml:space="preserve">устоит и эти </w:t>
                        </w:r>
                        <w:proofErr w:type="spellStart"/>
                        <w:r>
                          <w:t>позции</w:t>
                        </w:r>
                        <w:proofErr w:type="spellEnd"/>
                        <w:r>
                          <w:t xml:space="preserve"> начнут</w:t>
                        </w:r>
                        <w:proofErr w:type="gramEnd"/>
                        <w:r>
                          <w:t xml:space="preserve"> ликвидироваться, то скорость падения цены золота резко увеличится. Поэтому хотя мы не исключаем, что золото устоит на отметке около 1200 долл., риски снижения цены  расцениваем как  высокие.</w:t>
                        </w:r>
                      </w:p>
                      <w:p w:rsidR="00172429" w:rsidRDefault="00172429">
                        <w:r>
                          <w:t xml:space="preserve">   Цены на нефть </w:t>
                        </w:r>
                        <w:proofErr w:type="spellStart"/>
                        <w:r>
                          <w:t>Brent</w:t>
                        </w:r>
                        <w:proofErr w:type="spellEnd"/>
                        <w:r>
                          <w:t xml:space="preserve"> на прошедшей неделе удержались в районе110 долл. за баррель. Основным событием  стало заседание членов ОПЕК, которое прошло без ключевых изменений. Распределение квот по добыче нефти среди членов картеля осталось неизменным, как и общее ограничение на поставки нефти. </w:t>
                        </w:r>
                      </w:p>
                      <w:p w:rsidR="00172429" w:rsidRDefault="00172429">
                        <w:r>
                          <w:t xml:space="preserve">   Впрочем, риски снижения цены нефти ниже 100 долл. в 2014 году становятся более явными. Источником этого риска является возможность увеличения предложения нефти из Ливии и Ирана, а также прочих стран, не входящих в ОПЕК. Ливия нарастит добычу, если будет обеспечена защита нефтедобывающих предприятий от повстанцев, а Иран – в случае снятия международных санкций по поставке нефти в обмен на заморозку ядерной программы. Собственно, это и есть проявление "уменьшения ближневосточной премии".</w:t>
                        </w:r>
                      </w:p>
                      <w:p w:rsidR="00172429" w:rsidRDefault="00172429">
                        <w:r>
                          <w:t xml:space="preserve">   Остается надеяться на рациональную политику  Саудовской Аравии, которая постарается поддержать цену нефти больше 100 долл.</w:t>
                        </w:r>
                      </w:p>
                      <w:p w:rsidR="00172429" w:rsidRDefault="00172429">
                        <w:pPr>
                          <w:rPr>
                            <w:rFonts w:ascii="Calibri" w:hAnsi="Calibri"/>
                            <w:color w:val="1F497D"/>
                            <w:sz w:val="22"/>
                            <w:szCs w:val="22"/>
                            <w:lang w:eastAsia="en-US"/>
                          </w:rPr>
                        </w:pPr>
                      </w:p>
                    </w:tc>
                    <w:tc>
                      <w:tcPr>
                        <w:tcW w:w="600" w:type="dxa"/>
                        <w:vAlign w:val="center"/>
                        <w:hideMark/>
                      </w:tcPr>
                      <w:p w:rsidR="00172429" w:rsidRDefault="00172429">
                        <w:pPr>
                          <w:rPr>
                            <w:rFonts w:ascii="Calibri" w:hAnsi="Calibri"/>
                            <w:lang w:eastAsia="en-US"/>
                          </w:rPr>
                        </w:pPr>
                        <w:r>
                          <w:lastRenderedPageBreak/>
                          <w:t> </w:t>
                        </w:r>
                      </w:p>
                    </w:tc>
                  </w:tr>
                  <w:tr w:rsidR="00172429">
                    <w:trPr>
                      <w:tblCellSpacing w:w="0" w:type="dxa"/>
                    </w:trPr>
                    <w:tc>
                      <w:tcPr>
                        <w:tcW w:w="0" w:type="auto"/>
                        <w:vAlign w:val="center"/>
                      </w:tcPr>
                      <w:p w:rsidR="00172429" w:rsidRDefault="00172429">
                        <w:pPr>
                          <w:rPr>
                            <w:b/>
                            <w:bCs/>
                            <w:sz w:val="36"/>
                            <w:szCs w:val="36"/>
                          </w:rPr>
                        </w:pPr>
                      </w:p>
                    </w:tc>
                    <w:tc>
                      <w:tcPr>
                        <w:tcW w:w="600" w:type="dxa"/>
                        <w:vAlign w:val="center"/>
                      </w:tcPr>
                      <w:p w:rsidR="00172429" w:rsidRDefault="00172429"/>
                    </w:tc>
                  </w:tr>
                </w:tbl>
                <w:p w:rsidR="00172429" w:rsidRDefault="00172429">
                  <w:pPr>
                    <w:rPr>
                      <w:rFonts w:asciiTheme="minorHAnsi" w:eastAsiaTheme="minorEastAsia" w:hAnsiTheme="minorHAnsi" w:cstheme="minorBidi"/>
                      <w:sz w:val="22"/>
                      <w:szCs w:val="22"/>
                    </w:rPr>
                  </w:pPr>
                </w:p>
              </w:tc>
              <w:tc>
                <w:tcPr>
                  <w:tcW w:w="6" w:type="dxa"/>
                  <w:vAlign w:val="center"/>
                  <w:hideMark/>
                </w:tcPr>
                <w:p w:rsidR="00172429" w:rsidRDefault="00172429">
                  <w:pPr>
                    <w:rPr>
                      <w:rFonts w:asciiTheme="minorHAnsi" w:eastAsiaTheme="minorEastAsia" w:hAnsiTheme="minorHAnsi" w:cstheme="minorBidi"/>
                      <w:sz w:val="22"/>
                      <w:szCs w:val="22"/>
                    </w:rPr>
                  </w:pPr>
                </w:p>
              </w:tc>
            </w:tr>
          </w:tbl>
          <w:p w:rsidR="00172429" w:rsidRDefault="00172429">
            <w:pPr>
              <w:rPr>
                <w:rFonts w:ascii="Calibri" w:hAnsi="Calibri"/>
                <w:lang w:eastAsia="en-US"/>
              </w:rPr>
            </w:pPr>
            <w:r>
              <w:rPr>
                <w:noProof/>
              </w:rPr>
              <w:lastRenderedPageBreak/>
              <w:drawing>
                <wp:inline distT="0" distB="0" distL="0" distR="0">
                  <wp:extent cx="6667500" cy="762000"/>
                  <wp:effectExtent l="19050" t="0" r="0" b="0"/>
                  <wp:docPr id="6" name="Рисунок 2" descr="cid:image006.gif@01CEF597.6F01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6.gif@01CEF597.6F018340"/>
                          <pic:cNvPicPr>
                            <a:picLocks noChangeAspect="1" noChangeArrowheads="1"/>
                          </pic:cNvPicPr>
                        </pic:nvPicPr>
                        <pic:blipFill>
                          <a:blip r:embed="rId14" r:link="rId15" cstate="print"/>
                          <a:srcRect/>
                          <a:stretch>
                            <a:fillRect/>
                          </a:stretch>
                        </pic:blipFill>
                        <pic:spPr bwMode="auto">
                          <a:xfrm>
                            <a:off x="0" y="0"/>
                            <a:ext cx="6667500" cy="762000"/>
                          </a:xfrm>
                          <a:prstGeom prst="rect">
                            <a:avLst/>
                          </a:prstGeom>
                          <a:noFill/>
                          <a:ln w="9525">
                            <a:noFill/>
                            <a:miter lim="800000"/>
                            <a:headEnd/>
                            <a:tailEnd/>
                          </a:ln>
                        </pic:spPr>
                      </pic:pic>
                    </a:graphicData>
                  </a:graphic>
                </wp:inline>
              </w:drawing>
            </w:r>
          </w:p>
        </w:tc>
      </w:tr>
    </w:tbl>
    <w:p w:rsidR="006F7C62" w:rsidRPr="00EB5A2A" w:rsidRDefault="006F7C62" w:rsidP="00EB5A2A"/>
    <w:sectPr w:rsidR="006F7C62" w:rsidRPr="00EB5A2A" w:rsidSect="00CE21BA">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D6F"/>
    <w:rsid w:val="00172429"/>
    <w:rsid w:val="0066667C"/>
    <w:rsid w:val="006F7C62"/>
    <w:rsid w:val="00850A51"/>
    <w:rsid w:val="00B319BA"/>
    <w:rsid w:val="00D13D6F"/>
    <w:rsid w:val="00EB5A2A"/>
    <w:rsid w:val="00EF4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D6F"/>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13D6F"/>
    <w:rPr>
      <w:rFonts w:ascii="Consolas" w:hAnsi="Consolas" w:cstheme="minorBidi"/>
      <w:sz w:val="21"/>
      <w:szCs w:val="21"/>
      <w:lang w:eastAsia="en-US"/>
    </w:rPr>
  </w:style>
  <w:style w:type="character" w:customStyle="1" w:styleId="a4">
    <w:name w:val="Текст Знак"/>
    <w:basedOn w:val="a0"/>
    <w:link w:val="a3"/>
    <w:uiPriority w:val="99"/>
    <w:semiHidden/>
    <w:rsid w:val="00D13D6F"/>
    <w:rPr>
      <w:rFonts w:ascii="Consolas" w:hAnsi="Consolas"/>
      <w:sz w:val="21"/>
      <w:szCs w:val="21"/>
    </w:rPr>
  </w:style>
  <w:style w:type="paragraph" w:styleId="a5">
    <w:name w:val="Balloon Text"/>
    <w:basedOn w:val="a"/>
    <w:link w:val="a6"/>
    <w:uiPriority w:val="99"/>
    <w:semiHidden/>
    <w:unhideWhenUsed/>
    <w:rsid w:val="00172429"/>
    <w:rPr>
      <w:rFonts w:ascii="Tahoma" w:hAnsi="Tahoma" w:cs="Tahoma"/>
      <w:sz w:val="16"/>
      <w:szCs w:val="16"/>
    </w:rPr>
  </w:style>
  <w:style w:type="character" w:customStyle="1" w:styleId="a6">
    <w:name w:val="Текст выноски Знак"/>
    <w:basedOn w:val="a0"/>
    <w:link w:val="a5"/>
    <w:uiPriority w:val="99"/>
    <w:semiHidden/>
    <w:rsid w:val="0017242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4087371">
      <w:bodyDiv w:val="1"/>
      <w:marLeft w:val="0"/>
      <w:marRight w:val="0"/>
      <w:marTop w:val="0"/>
      <w:marBottom w:val="0"/>
      <w:divBdr>
        <w:top w:val="none" w:sz="0" w:space="0" w:color="auto"/>
        <w:left w:val="none" w:sz="0" w:space="0" w:color="auto"/>
        <w:bottom w:val="none" w:sz="0" w:space="0" w:color="auto"/>
        <w:right w:val="none" w:sz="0" w:space="0" w:color="auto"/>
      </w:divBdr>
    </w:div>
    <w:div w:id="596986823">
      <w:bodyDiv w:val="1"/>
      <w:marLeft w:val="0"/>
      <w:marRight w:val="0"/>
      <w:marTop w:val="0"/>
      <w:marBottom w:val="0"/>
      <w:divBdr>
        <w:top w:val="none" w:sz="0" w:space="0" w:color="auto"/>
        <w:left w:val="none" w:sz="0" w:space="0" w:color="auto"/>
        <w:bottom w:val="none" w:sz="0" w:space="0" w:color="auto"/>
        <w:right w:val="none" w:sz="0" w:space="0" w:color="auto"/>
      </w:divBdr>
    </w:div>
    <w:div w:id="16785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CEF597.6F018340" TargetMode="External"/><Relationship Id="rId3" Type="http://schemas.openxmlformats.org/officeDocument/2006/relationships/webSettings" Target="webSettings.xml"/><Relationship Id="rId7" Type="http://schemas.openxmlformats.org/officeDocument/2006/relationships/image" Target="cid:image003.jpg@01CEF597.6F018340"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CEF597.6F018340" TargetMode="External"/><Relationship Id="rId5" Type="http://schemas.openxmlformats.org/officeDocument/2006/relationships/image" Target="cid:image001.jpg@01CEF597.6F018340" TargetMode="External"/><Relationship Id="rId15" Type="http://schemas.openxmlformats.org/officeDocument/2006/relationships/image" Target="cid:image006.gif@01CEF597.6F01834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2.jpg@01CEF597.6F018340" TargetMode="External"/><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adolgikh</dc:creator>
  <cp:lastModifiedBy>adolgikh</cp:lastModifiedBy>
  <cp:revision>2</cp:revision>
  <dcterms:created xsi:type="dcterms:W3CDTF">2013-12-10T07:59:00Z</dcterms:created>
  <dcterms:modified xsi:type="dcterms:W3CDTF">2013-12-10T07:59:00Z</dcterms:modified>
</cp:coreProperties>
</file>