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2" w:type="pct"/>
        <w:tblCellSpacing w:w="0" w:type="dxa"/>
        <w:tblInd w:w="147" w:type="dxa"/>
        <w:tblCellMar>
          <w:left w:w="0" w:type="dxa"/>
          <w:right w:w="0" w:type="dxa"/>
        </w:tblCellMar>
        <w:tblLook w:val="04A0"/>
      </w:tblPr>
      <w:tblGrid>
        <w:gridCol w:w="20"/>
        <w:gridCol w:w="8584"/>
        <w:gridCol w:w="624"/>
      </w:tblGrid>
      <w:tr w:rsidR="004F0B62" w:rsidTr="003F0FBE">
        <w:trPr>
          <w:tblCellSpacing w:w="0" w:type="dxa"/>
        </w:trPr>
        <w:tc>
          <w:tcPr>
            <w:tcW w:w="20" w:type="dxa"/>
            <w:vAlign w:val="center"/>
            <w:hideMark/>
          </w:tcPr>
          <w:p w:rsidR="004F0B62" w:rsidRDefault="004F0B62">
            <w:pPr>
              <w:rPr>
                <w:rFonts w:asciiTheme="minorHAnsi" w:eastAsiaTheme="minorEastAsia" w:hAnsiTheme="minorHAnsi" w:cstheme="minorBidi"/>
                <w:lang w:eastAsia="ru-RU"/>
              </w:rPr>
            </w:pPr>
          </w:p>
        </w:tc>
        <w:tc>
          <w:tcPr>
            <w:tcW w:w="8584" w:type="dxa"/>
            <w:vAlign w:val="center"/>
          </w:tcPr>
          <w:p w:rsidR="004F0B62" w:rsidRDefault="004F0B62">
            <w:pPr>
              <w:spacing w:after="240"/>
            </w:pPr>
          </w:p>
          <w:p w:rsidR="004F0B62" w:rsidRDefault="004F0B62">
            <w:pPr>
              <w:rPr>
                <w:b/>
                <w:bCs/>
                <w:sz w:val="36"/>
                <w:szCs w:val="36"/>
              </w:rPr>
            </w:pPr>
            <w:r>
              <w:rPr>
                <w:b/>
                <w:bCs/>
                <w:sz w:val="36"/>
                <w:szCs w:val="36"/>
              </w:rPr>
              <w:t>Рынок акций</w:t>
            </w:r>
          </w:p>
          <w:p w:rsidR="004F0B62" w:rsidRDefault="004F0B62">
            <w:pPr>
              <w:spacing w:after="240"/>
              <w:rPr>
                <w:rFonts w:ascii="Times New Roman" w:hAnsi="Times New Roman"/>
                <w:color w:val="1F497D"/>
                <w:sz w:val="24"/>
                <w:szCs w:val="24"/>
              </w:rPr>
            </w:pPr>
          </w:p>
          <w:p w:rsidR="004F0B62" w:rsidRDefault="004F0B62">
            <w:pPr>
              <w:spacing w:after="240"/>
              <w:rPr>
                <w:rFonts w:ascii="Times New Roman" w:hAnsi="Times New Roman"/>
                <w:sz w:val="24"/>
                <w:szCs w:val="24"/>
              </w:rPr>
            </w:pPr>
            <w:r>
              <w:rPr>
                <w:noProof/>
                <w:lang w:eastAsia="ru-RU"/>
              </w:rPr>
              <w:drawing>
                <wp:inline distT="0" distB="0" distL="0" distR="0">
                  <wp:extent cx="1190625" cy="1190625"/>
                  <wp:effectExtent l="19050" t="0" r="9525" b="0"/>
                  <wp:docPr id="1" name="Рисунок 2" descr="Описание: cid:image002.jpg@01CE977E.33CBA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id:image002.jpg@01CE977E.33CBA2A0"/>
                          <pic:cNvPicPr>
                            <a:picLocks noChangeAspect="1" noChangeArrowheads="1"/>
                          </pic:cNvPicPr>
                        </pic:nvPicPr>
                        <pic:blipFill>
                          <a:blip r:embed="rId4" r:link="rId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4F0B62" w:rsidRDefault="004F0B62">
            <w:pPr>
              <w:rPr>
                <w:b/>
                <w:bCs/>
                <w:sz w:val="28"/>
                <w:szCs w:val="28"/>
              </w:rPr>
            </w:pPr>
            <w:r>
              <w:rPr>
                <w:b/>
                <w:bCs/>
                <w:sz w:val="28"/>
                <w:szCs w:val="28"/>
              </w:rPr>
              <w:t xml:space="preserve">Регина </w:t>
            </w:r>
            <w:proofErr w:type="spellStart"/>
            <w:r>
              <w:rPr>
                <w:b/>
                <w:bCs/>
                <w:sz w:val="28"/>
                <w:szCs w:val="28"/>
              </w:rPr>
              <w:t>Гирфанова</w:t>
            </w:r>
            <w:proofErr w:type="spellEnd"/>
            <w:r>
              <w:rPr>
                <w:b/>
                <w:bCs/>
                <w:sz w:val="28"/>
                <w:szCs w:val="28"/>
              </w:rPr>
              <w:t>,</w:t>
            </w:r>
            <w:r>
              <w:rPr>
                <w:b/>
                <w:bCs/>
                <w:sz w:val="28"/>
                <w:szCs w:val="28"/>
              </w:rPr>
              <w:br/>
            </w:r>
            <w:r>
              <w:rPr>
                <w:b/>
                <w:bCs/>
                <w:color w:val="FF0000"/>
                <w:sz w:val="28"/>
                <w:szCs w:val="28"/>
              </w:rPr>
              <w:t>портфельный управляющий УК «Альфа-Капитал»</w:t>
            </w:r>
          </w:p>
          <w:p w:rsidR="004F0B62" w:rsidRDefault="004F0B62">
            <w:pPr>
              <w:spacing w:after="240"/>
              <w:rPr>
                <w:color w:val="1F497D"/>
              </w:rPr>
            </w:pPr>
          </w:p>
          <w:p w:rsidR="004F0B62" w:rsidRDefault="004F0B62">
            <w:pPr>
              <w:spacing w:after="240"/>
            </w:pPr>
            <w:r>
              <w:t xml:space="preserve">Прошлую неделю можно по праву назвать неделей </w:t>
            </w:r>
            <w:proofErr w:type="spellStart"/>
            <w:r>
              <w:t>нефтегаза</w:t>
            </w:r>
            <w:proofErr w:type="spellEnd"/>
            <w:r>
              <w:t>. Газпром и Роснефть прибавили более</w:t>
            </w:r>
            <w:proofErr w:type="gramStart"/>
            <w:r>
              <w:t>,</w:t>
            </w:r>
            <w:proofErr w:type="gramEnd"/>
            <w:r>
              <w:t xml:space="preserve"> </w:t>
            </w:r>
            <w:r w:rsidR="005F347B">
              <w:t xml:space="preserve">чем по 7%, немного отстал </w:t>
            </w:r>
            <w:proofErr w:type="spellStart"/>
            <w:r w:rsidR="005F347B">
              <w:t>Новатэ</w:t>
            </w:r>
            <w:r>
              <w:t>к</w:t>
            </w:r>
            <w:proofErr w:type="spellEnd"/>
            <w:r>
              <w:t xml:space="preserve">. Самое простое объяснение – высокие цены на нефть и продолжающееся ослабление рубля, что позитивно скажется на финансовых показателях компаний, а значит, и на величине ожидаемых дивидендов. Кроме того, сектор поддерживался отдельными новостями: г-н </w:t>
            </w:r>
            <w:proofErr w:type="spellStart"/>
            <w:r>
              <w:t>Сечин</w:t>
            </w:r>
            <w:proofErr w:type="spellEnd"/>
            <w:r>
              <w:t xml:space="preserve"> на заемные 2 млрд. рублей покупал акции Роснефти, Газпром подписали соглашение о поставках газа, цена еще не определена, но цена отвязана от американских цен на газ, что рынок воспринял позитивно. </w:t>
            </w:r>
          </w:p>
          <w:p w:rsidR="004F0B62" w:rsidRDefault="004F0B62">
            <w:pPr>
              <w:spacing w:after="240"/>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1190625" cy="1190625"/>
                  <wp:effectExtent l="19050" t="0" r="9525" b="0"/>
                  <wp:docPr id="2" name="Рисунок 2" descr="Описание: Описание: Описание: C:\Users\k.krokhina\Desktop\Analitika\Analitika\Analitik_Брагин\P_Bra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Описание: Описание: C:\Users\k.krokhina\Desktop\Analitika\Analitika\Analitik_Брагин\P_Bragin.jpg"/>
                          <pic:cNvPicPr>
                            <a:picLocks noChangeAspect="1" noChangeArrowheads="1"/>
                          </pic:cNvPicPr>
                        </pic:nvPicPr>
                        <pic:blipFill>
                          <a:blip r:embed="rId6" r:link="rId7"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4F0B62" w:rsidRDefault="004F0B62">
            <w:pPr>
              <w:rPr>
                <w:b/>
                <w:bCs/>
                <w:sz w:val="28"/>
                <w:szCs w:val="28"/>
                <w:lang w:eastAsia="ru-RU"/>
              </w:rPr>
            </w:pPr>
            <w:r>
              <w:rPr>
                <w:b/>
                <w:bCs/>
                <w:sz w:val="28"/>
                <w:szCs w:val="28"/>
                <w:lang w:eastAsia="ru-RU"/>
              </w:rPr>
              <w:t>Владимир Брагин,</w:t>
            </w:r>
            <w:r>
              <w:rPr>
                <w:b/>
                <w:bCs/>
                <w:sz w:val="28"/>
                <w:szCs w:val="28"/>
                <w:lang w:eastAsia="ru-RU"/>
              </w:rPr>
              <w:br/>
            </w:r>
            <w:r>
              <w:rPr>
                <w:b/>
                <w:bCs/>
                <w:color w:val="FF0000"/>
                <w:sz w:val="28"/>
                <w:szCs w:val="28"/>
                <w:lang w:eastAsia="ru-RU"/>
              </w:rPr>
              <w:t>директор по анализу финансовых рынков</w:t>
            </w:r>
            <w:r>
              <w:rPr>
                <w:b/>
                <w:bCs/>
                <w:color w:val="FF0000"/>
                <w:sz w:val="28"/>
                <w:szCs w:val="28"/>
                <w:lang w:eastAsia="ru-RU"/>
              </w:rPr>
              <w:br/>
              <w:t>и макроэкономики УК «Альфа-Капитал»</w:t>
            </w:r>
          </w:p>
          <w:p w:rsidR="004F0B62" w:rsidRDefault="004F0B62">
            <w:pPr>
              <w:rPr>
                <w:b/>
                <w:bCs/>
                <w:color w:val="1F497D"/>
              </w:rPr>
            </w:pPr>
          </w:p>
          <w:p w:rsidR="004F0B62" w:rsidRDefault="004F0B62">
            <w:pPr>
              <w:rPr>
                <w:b/>
                <w:bCs/>
                <w:color w:val="1F497D"/>
              </w:rPr>
            </w:pPr>
          </w:p>
          <w:p w:rsidR="004F0B62" w:rsidRDefault="004F0B62">
            <w:r>
              <w:t xml:space="preserve">Неделя выдалась довольно интересной с точки зрения данных, новостей и динамики рынка. Так, данные в первой половине недели выходили довольно неплохие: лучше ожиданий оказались индексы </w:t>
            </w:r>
            <w:r>
              <w:rPr>
                <w:lang w:val="en-US"/>
              </w:rPr>
              <w:t>ISM</w:t>
            </w:r>
            <w:r w:rsidRPr="004F0B62">
              <w:t xml:space="preserve"> </w:t>
            </w:r>
            <w:r>
              <w:t xml:space="preserve">обрабатывающей промышленности США, рост промышленных заказов. И все это трактовалось рынком как рост </w:t>
            </w:r>
            <w:proofErr w:type="gramStart"/>
            <w:r>
              <w:t>вероятности начала сворачивания мер количественного смягчения</w:t>
            </w:r>
            <w:proofErr w:type="gramEnd"/>
            <w:r>
              <w:t xml:space="preserve">. Но в пятницу данные о числе созданных рабочих мест заставили рынок скорректировать свои ожидания. Данные вышли хуже ожиданий, а цифра за предыдущий месяц была скорректирована со  162 тыс. до 104 тыс. Снижение безработицы в очередной раз было обусловлено больше снижением экономической активности населения, а не ростом занятости. В общем, с точки зрения сворачивания </w:t>
            </w:r>
            <w:r>
              <w:rPr>
                <w:lang w:val="en-US"/>
              </w:rPr>
              <w:t>QE</w:t>
            </w:r>
            <w:r>
              <w:t>3 по-прежнему больше вопросов, чем ответов.</w:t>
            </w:r>
          </w:p>
          <w:p w:rsidR="004F0B62" w:rsidRDefault="004F0B62">
            <w:r>
              <w:t xml:space="preserve">Источником повышенной </w:t>
            </w:r>
            <w:proofErr w:type="spellStart"/>
            <w:r>
              <w:t>волатильности</w:t>
            </w:r>
            <w:proofErr w:type="spellEnd"/>
            <w:r>
              <w:t xml:space="preserve"> рынка в пятницу стал саммит </w:t>
            </w:r>
            <w:r>
              <w:rPr>
                <w:lang w:val="en-US"/>
              </w:rPr>
              <w:t>G</w:t>
            </w:r>
            <w:r>
              <w:t xml:space="preserve">20, в частности обсуждение вопроса по Сирии и высказывание своей позиции российским президентом. На этой неделе нас могут ждать еще сюрпризы, в частности пройдет голосование в </w:t>
            </w:r>
            <w:r>
              <w:lastRenderedPageBreak/>
              <w:t xml:space="preserve">конгрессе, которое может отклонить предложение президента США о военной операции. И в этом случае ситуация станет еще менее определенной. Для российского рынка, как показала прошлая неделя, главным фактором остается Китай. Подписание важных контрактов с этой страной вызвало резкий рост котировок нефтегазовых компаний в четверг, а </w:t>
            </w:r>
            <w:proofErr w:type="gramStart"/>
            <w:r>
              <w:t>хорошая</w:t>
            </w:r>
            <w:proofErr w:type="gramEnd"/>
            <w:r>
              <w:t xml:space="preserve"> </w:t>
            </w:r>
            <w:proofErr w:type="spellStart"/>
            <w:r>
              <w:t>макростатистика</w:t>
            </w:r>
            <w:proofErr w:type="spellEnd"/>
            <w:r>
              <w:t>, вышедшая сегодня утром уже находит отражение в котировках металлургов.</w:t>
            </w:r>
          </w:p>
          <w:p w:rsidR="004F0B62" w:rsidRDefault="004F0B62"/>
          <w:p w:rsidR="004F0B62" w:rsidRDefault="004F0B62">
            <w:pPr>
              <w:rPr>
                <w:b/>
                <w:bCs/>
                <w:color w:val="1F497D"/>
              </w:rPr>
            </w:pPr>
          </w:p>
          <w:p w:rsidR="004F0B62" w:rsidRDefault="004F0B62"/>
          <w:p w:rsidR="004F0B62" w:rsidRDefault="004F0B62">
            <w:pPr>
              <w:rPr>
                <w:color w:val="1F497D"/>
              </w:rPr>
            </w:pPr>
          </w:p>
        </w:tc>
        <w:tc>
          <w:tcPr>
            <w:tcW w:w="624" w:type="dxa"/>
            <w:vAlign w:val="center"/>
            <w:hideMark/>
          </w:tcPr>
          <w:p w:rsidR="004F0B62" w:rsidRDefault="004F0B62">
            <w:pPr>
              <w:rPr>
                <w:sz w:val="24"/>
                <w:szCs w:val="24"/>
              </w:rPr>
            </w:pPr>
            <w:r>
              <w:lastRenderedPageBreak/>
              <w:t> </w:t>
            </w:r>
          </w:p>
        </w:tc>
      </w:tr>
    </w:tbl>
    <w:p w:rsidR="004F0B62" w:rsidRDefault="004F0B62" w:rsidP="004F0B62">
      <w:pPr>
        <w:rPr>
          <w:vanish/>
        </w:rPr>
      </w:pPr>
    </w:p>
    <w:tbl>
      <w:tblPr>
        <w:tblW w:w="5000" w:type="pct"/>
        <w:tblCellSpacing w:w="0" w:type="dxa"/>
        <w:tblCellMar>
          <w:left w:w="0" w:type="dxa"/>
          <w:right w:w="0" w:type="dxa"/>
        </w:tblCellMar>
        <w:tblLook w:val="04A0"/>
      </w:tblPr>
      <w:tblGrid>
        <w:gridCol w:w="873"/>
        <w:gridCol w:w="7858"/>
        <w:gridCol w:w="624"/>
      </w:tblGrid>
      <w:tr w:rsidR="004F0B62" w:rsidTr="004F0B62">
        <w:trPr>
          <w:trHeight w:val="150"/>
          <w:tblCellSpacing w:w="0" w:type="dxa"/>
        </w:trPr>
        <w:tc>
          <w:tcPr>
            <w:tcW w:w="840" w:type="dxa"/>
            <w:shd w:val="clear" w:color="auto" w:fill="FFFFFF"/>
            <w:vAlign w:val="center"/>
            <w:hideMark/>
          </w:tcPr>
          <w:p w:rsidR="004F0B62" w:rsidRDefault="004F0B62">
            <w:pPr>
              <w:rPr>
                <w:rFonts w:asciiTheme="minorHAnsi" w:eastAsiaTheme="minorEastAsia" w:hAnsiTheme="minorHAnsi" w:cstheme="minorBidi"/>
                <w:lang w:eastAsia="ru-RU"/>
              </w:rPr>
            </w:pPr>
          </w:p>
        </w:tc>
        <w:tc>
          <w:tcPr>
            <w:tcW w:w="7560" w:type="dxa"/>
            <w:shd w:val="clear" w:color="auto" w:fill="FFFFFF"/>
            <w:vAlign w:val="center"/>
            <w:hideMark/>
          </w:tcPr>
          <w:p w:rsidR="004F0B62" w:rsidRDefault="004F0B62">
            <w:pPr>
              <w:rPr>
                <w:rFonts w:asciiTheme="minorHAnsi" w:eastAsiaTheme="minorEastAsia" w:hAnsiTheme="minorHAnsi" w:cstheme="minorBidi"/>
                <w:lang w:eastAsia="ru-RU"/>
              </w:rPr>
            </w:pPr>
          </w:p>
        </w:tc>
        <w:tc>
          <w:tcPr>
            <w:tcW w:w="600" w:type="dxa"/>
            <w:shd w:val="clear" w:color="auto" w:fill="FFFFFF"/>
            <w:vAlign w:val="center"/>
            <w:hideMark/>
          </w:tcPr>
          <w:p w:rsidR="004F0B62" w:rsidRDefault="004F0B62">
            <w:pPr>
              <w:rPr>
                <w:rFonts w:asciiTheme="minorHAnsi" w:eastAsiaTheme="minorEastAsia" w:hAnsiTheme="minorHAnsi" w:cstheme="minorBidi"/>
                <w:lang w:eastAsia="ru-RU"/>
              </w:rPr>
            </w:pPr>
          </w:p>
        </w:tc>
      </w:tr>
      <w:tr w:rsidR="004F0B62" w:rsidTr="004F0B62">
        <w:trPr>
          <w:tblCellSpacing w:w="0" w:type="dxa"/>
        </w:trPr>
        <w:tc>
          <w:tcPr>
            <w:tcW w:w="840" w:type="dxa"/>
            <w:vAlign w:val="center"/>
            <w:hideMark/>
          </w:tcPr>
          <w:p w:rsidR="004F0B62" w:rsidRDefault="004F0B62">
            <w:pPr>
              <w:rPr>
                <w:rFonts w:asciiTheme="minorHAnsi" w:eastAsiaTheme="minorEastAsia" w:hAnsiTheme="minorHAnsi" w:cstheme="minorBidi"/>
                <w:lang w:eastAsia="ru-RU"/>
              </w:rPr>
            </w:pPr>
          </w:p>
        </w:tc>
        <w:tc>
          <w:tcPr>
            <w:tcW w:w="7560" w:type="dxa"/>
            <w:vAlign w:val="center"/>
          </w:tcPr>
          <w:p w:rsidR="004F0B62" w:rsidRDefault="004F0B62">
            <w:pPr>
              <w:spacing w:after="240"/>
            </w:pPr>
          </w:p>
          <w:p w:rsidR="004F0B62" w:rsidRDefault="004F0B62">
            <w:pPr>
              <w:rPr>
                <w:b/>
                <w:bCs/>
                <w:sz w:val="36"/>
                <w:szCs w:val="36"/>
              </w:rPr>
            </w:pPr>
            <w:r>
              <w:rPr>
                <w:b/>
                <w:bCs/>
                <w:sz w:val="36"/>
                <w:szCs w:val="36"/>
              </w:rPr>
              <w:t>Рынок облигаций</w:t>
            </w:r>
          </w:p>
          <w:p w:rsidR="004F0B62" w:rsidRDefault="004F0B62">
            <w:pPr>
              <w:spacing w:after="240"/>
              <w:rPr>
                <w:rFonts w:ascii="Times New Roman" w:hAnsi="Times New Roman"/>
                <w:sz w:val="24"/>
                <w:szCs w:val="24"/>
              </w:rPr>
            </w:pPr>
            <w:r>
              <w:rPr>
                <w:noProof/>
                <w:lang w:eastAsia="ru-RU"/>
              </w:rPr>
              <w:drawing>
                <wp:inline distT="0" distB="0" distL="0" distR="0">
                  <wp:extent cx="1190625" cy="1190625"/>
                  <wp:effectExtent l="19050" t="0" r="9525" b="0"/>
                  <wp:docPr id="3" name="Рисунок 3" descr="cid:image004.jpg@01CEAD8A.7A7C1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AD8A.7A7C1F50"/>
                          <pic:cNvPicPr>
                            <a:picLocks noChangeAspect="1" noChangeArrowheads="1"/>
                          </pic:cNvPicPr>
                        </pic:nvPicPr>
                        <pic:blipFill>
                          <a:blip r:embed="rId8" r:link="rId9"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4F0B62" w:rsidRDefault="004F0B62">
            <w:pPr>
              <w:rPr>
                <w:b/>
                <w:bCs/>
                <w:color w:val="1F497D"/>
                <w:sz w:val="28"/>
                <w:szCs w:val="28"/>
              </w:rPr>
            </w:pPr>
            <w:r>
              <w:rPr>
                <w:b/>
                <w:bCs/>
                <w:sz w:val="28"/>
                <w:szCs w:val="28"/>
              </w:rPr>
              <w:t xml:space="preserve">Алексей </w:t>
            </w:r>
            <w:proofErr w:type="spellStart"/>
            <w:r>
              <w:rPr>
                <w:b/>
                <w:bCs/>
                <w:sz w:val="28"/>
                <w:szCs w:val="28"/>
              </w:rPr>
              <w:t>Губин</w:t>
            </w:r>
            <w:proofErr w:type="spellEnd"/>
            <w:r>
              <w:rPr>
                <w:b/>
                <w:bCs/>
                <w:sz w:val="28"/>
                <w:szCs w:val="28"/>
              </w:rPr>
              <w:t xml:space="preserve">, </w:t>
            </w:r>
            <w:r>
              <w:rPr>
                <w:b/>
                <w:bCs/>
                <w:sz w:val="28"/>
                <w:szCs w:val="28"/>
              </w:rPr>
              <w:br/>
            </w:r>
            <w:r>
              <w:rPr>
                <w:b/>
                <w:bCs/>
                <w:color w:val="FF0000"/>
                <w:sz w:val="28"/>
                <w:szCs w:val="28"/>
              </w:rPr>
              <w:t>аналитик УК «Альфа-Капитал»</w:t>
            </w:r>
          </w:p>
          <w:p w:rsidR="004F0B62" w:rsidRDefault="004F0B62"/>
          <w:p w:rsidR="004F0B62" w:rsidRDefault="004F0B62">
            <w:r>
              <w:t>Всю прошлую неделю инвесторы ждали макроэкономические данные по рынку труда США. Данные вышли хуже ожиданий, более того, существенный пересмотр показателей за прошлый месяц усугубил статистику вновь созданных рабочих ме</w:t>
            </w:r>
            <w:proofErr w:type="gramStart"/>
            <w:r>
              <w:t>ст в СШ</w:t>
            </w:r>
            <w:proofErr w:type="gramEnd"/>
            <w:r>
              <w:t xml:space="preserve">А. Доходность по </w:t>
            </w:r>
            <w:r>
              <w:rPr>
                <w:lang w:val="en-US"/>
              </w:rPr>
              <w:t>UST</w:t>
            </w:r>
            <w:r>
              <w:t xml:space="preserve">10 откатилась на уровень 2,935% (-5,6 б.п.), ОФЗ отреагировали незначительным ростом котировок. </w:t>
            </w:r>
          </w:p>
          <w:p w:rsidR="004F0B62" w:rsidRDefault="004F0B62">
            <w:r>
              <w:t xml:space="preserve">На наш взгляд, участники рынка займут выжидательную позицию, так как следующие две недели будут определяющие настроения глобальных рынков. На текущей неделе пройдет голосование конгресса США относительно удара по Сирии, однако это скорее носит формальный характер. В пятницу заседание ЦБ, на котором в очередной раз пройдет обсуждение смягчение денежно-кредитной </w:t>
            </w:r>
            <w:proofErr w:type="gramStart"/>
            <w:r>
              <w:t>политики, на</w:t>
            </w:r>
            <w:proofErr w:type="gramEnd"/>
            <w:r>
              <w:t xml:space="preserve"> наш взгляд в текущей экономической ситуации серьезных решений по изменению ставок принято не будет. И финальным аккордом станет заседание ФРС США 17-18 сентября, на котором будет обсуждаться вопрос по сокращению </w:t>
            </w:r>
            <w:r>
              <w:rPr>
                <w:lang w:val="en-US"/>
              </w:rPr>
              <w:t>QE.</w:t>
            </w:r>
          </w:p>
          <w:p w:rsidR="004F0B62" w:rsidRDefault="004F0B62"/>
          <w:p w:rsidR="004F0B62" w:rsidRDefault="004F0B62">
            <w:pPr>
              <w:rPr>
                <w:b/>
                <w:bCs/>
                <w:color w:val="1F497D"/>
              </w:rPr>
            </w:pPr>
          </w:p>
          <w:p w:rsidR="004F0B62" w:rsidRDefault="004F0B62">
            <w:pPr>
              <w:rPr>
                <w:color w:val="1F497D"/>
              </w:rPr>
            </w:pPr>
          </w:p>
        </w:tc>
        <w:tc>
          <w:tcPr>
            <w:tcW w:w="600" w:type="dxa"/>
            <w:vAlign w:val="center"/>
            <w:hideMark/>
          </w:tcPr>
          <w:p w:rsidR="004F0B62" w:rsidRDefault="004F0B62">
            <w:pPr>
              <w:rPr>
                <w:sz w:val="24"/>
                <w:szCs w:val="24"/>
              </w:rPr>
            </w:pPr>
            <w:r>
              <w:t> </w:t>
            </w:r>
          </w:p>
        </w:tc>
      </w:tr>
    </w:tbl>
    <w:p w:rsidR="004F0B62" w:rsidRDefault="004F0B62" w:rsidP="004F0B62">
      <w:pPr>
        <w:rPr>
          <w:vanish/>
        </w:rPr>
      </w:pPr>
    </w:p>
    <w:tbl>
      <w:tblPr>
        <w:tblW w:w="5000" w:type="pct"/>
        <w:tblCellSpacing w:w="0" w:type="dxa"/>
        <w:tblCellMar>
          <w:left w:w="0" w:type="dxa"/>
          <w:right w:w="0" w:type="dxa"/>
        </w:tblCellMar>
        <w:tblLook w:val="04A0"/>
      </w:tblPr>
      <w:tblGrid>
        <w:gridCol w:w="873"/>
        <w:gridCol w:w="7858"/>
        <w:gridCol w:w="624"/>
      </w:tblGrid>
      <w:tr w:rsidR="004F0B62" w:rsidTr="004F0B62">
        <w:trPr>
          <w:trHeight w:val="150"/>
          <w:tblCellSpacing w:w="0" w:type="dxa"/>
        </w:trPr>
        <w:tc>
          <w:tcPr>
            <w:tcW w:w="840" w:type="dxa"/>
            <w:shd w:val="clear" w:color="auto" w:fill="FFFFFF"/>
            <w:vAlign w:val="center"/>
            <w:hideMark/>
          </w:tcPr>
          <w:p w:rsidR="004F0B62" w:rsidRDefault="004F0B62">
            <w:pPr>
              <w:rPr>
                <w:rFonts w:asciiTheme="minorHAnsi" w:eastAsiaTheme="minorEastAsia" w:hAnsiTheme="minorHAnsi" w:cstheme="minorBidi"/>
                <w:lang w:eastAsia="ru-RU"/>
              </w:rPr>
            </w:pPr>
          </w:p>
        </w:tc>
        <w:tc>
          <w:tcPr>
            <w:tcW w:w="7560" w:type="dxa"/>
            <w:shd w:val="clear" w:color="auto" w:fill="FFFFFF"/>
            <w:vAlign w:val="center"/>
            <w:hideMark/>
          </w:tcPr>
          <w:p w:rsidR="004F0B62" w:rsidRDefault="004F0B62">
            <w:pPr>
              <w:rPr>
                <w:rFonts w:asciiTheme="minorHAnsi" w:eastAsiaTheme="minorEastAsia" w:hAnsiTheme="minorHAnsi" w:cstheme="minorBidi"/>
                <w:lang w:eastAsia="ru-RU"/>
              </w:rPr>
            </w:pPr>
          </w:p>
        </w:tc>
        <w:tc>
          <w:tcPr>
            <w:tcW w:w="600" w:type="dxa"/>
            <w:shd w:val="clear" w:color="auto" w:fill="FFFFFF"/>
            <w:vAlign w:val="center"/>
            <w:hideMark/>
          </w:tcPr>
          <w:p w:rsidR="004F0B62" w:rsidRDefault="004F0B62">
            <w:pPr>
              <w:rPr>
                <w:rFonts w:asciiTheme="minorHAnsi" w:eastAsiaTheme="minorEastAsia" w:hAnsiTheme="minorHAnsi" w:cstheme="minorBidi"/>
                <w:lang w:eastAsia="ru-RU"/>
              </w:rPr>
            </w:pPr>
          </w:p>
        </w:tc>
      </w:tr>
      <w:tr w:rsidR="004F0B62" w:rsidTr="004F0B62">
        <w:trPr>
          <w:trHeight w:val="7916"/>
          <w:tblCellSpacing w:w="0" w:type="dxa"/>
        </w:trPr>
        <w:tc>
          <w:tcPr>
            <w:tcW w:w="840" w:type="dxa"/>
            <w:vAlign w:val="center"/>
            <w:hideMark/>
          </w:tcPr>
          <w:p w:rsidR="004F0B62" w:rsidRDefault="004F0B62">
            <w:pPr>
              <w:rPr>
                <w:rFonts w:asciiTheme="minorHAnsi" w:eastAsiaTheme="minorEastAsia" w:hAnsiTheme="minorHAnsi" w:cstheme="minorBidi"/>
                <w:lang w:eastAsia="ru-RU"/>
              </w:rPr>
            </w:pPr>
          </w:p>
        </w:tc>
        <w:tc>
          <w:tcPr>
            <w:tcW w:w="7560" w:type="dxa"/>
            <w:vAlign w:val="center"/>
          </w:tcPr>
          <w:p w:rsidR="004F0B62" w:rsidRDefault="004F0B62">
            <w:pPr>
              <w:spacing w:after="240"/>
            </w:pPr>
          </w:p>
          <w:p w:rsidR="004F0B62" w:rsidRDefault="004F0B62">
            <w:pPr>
              <w:rPr>
                <w:b/>
                <w:bCs/>
                <w:sz w:val="36"/>
                <w:szCs w:val="36"/>
              </w:rPr>
            </w:pPr>
            <w:r>
              <w:rPr>
                <w:b/>
                <w:bCs/>
                <w:sz w:val="36"/>
                <w:szCs w:val="36"/>
              </w:rPr>
              <w:t>Рынок сырьевых товаров</w:t>
            </w:r>
          </w:p>
          <w:p w:rsidR="004F0B62" w:rsidRDefault="004F0B62">
            <w:pPr>
              <w:spacing w:after="240"/>
              <w:rPr>
                <w:rFonts w:ascii="Times New Roman" w:hAnsi="Times New Roman"/>
                <w:sz w:val="24"/>
                <w:szCs w:val="24"/>
              </w:rPr>
            </w:pPr>
            <w:r>
              <w:rPr>
                <w:noProof/>
                <w:lang w:eastAsia="ru-RU"/>
              </w:rPr>
              <w:drawing>
                <wp:inline distT="0" distB="0" distL="0" distR="0">
                  <wp:extent cx="1190625" cy="1190625"/>
                  <wp:effectExtent l="19050" t="0" r="9525" b="0"/>
                  <wp:docPr id="4" name="Рисунок 4" descr="cid:image005.jpg@01CEAD8A.7A7C1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CEAD8A.7A7C1F5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4F0B62" w:rsidRDefault="004F0B62">
            <w:pPr>
              <w:rPr>
                <w:b/>
                <w:bCs/>
                <w:color w:val="1F497D"/>
                <w:sz w:val="28"/>
                <w:szCs w:val="28"/>
              </w:rPr>
            </w:pPr>
            <w:r>
              <w:rPr>
                <w:b/>
                <w:bCs/>
                <w:sz w:val="28"/>
                <w:szCs w:val="28"/>
              </w:rPr>
              <w:t xml:space="preserve">Дмитрий </w:t>
            </w:r>
            <w:proofErr w:type="spellStart"/>
            <w:r>
              <w:rPr>
                <w:b/>
                <w:bCs/>
                <w:sz w:val="28"/>
                <w:szCs w:val="28"/>
              </w:rPr>
              <w:t>Чернядьев</w:t>
            </w:r>
            <w:proofErr w:type="spellEnd"/>
            <w:r>
              <w:rPr>
                <w:b/>
                <w:bCs/>
                <w:sz w:val="28"/>
                <w:szCs w:val="28"/>
              </w:rPr>
              <w:t xml:space="preserve">, </w:t>
            </w:r>
            <w:r>
              <w:rPr>
                <w:b/>
                <w:bCs/>
                <w:sz w:val="28"/>
                <w:szCs w:val="28"/>
              </w:rPr>
              <w:br/>
            </w:r>
            <w:r>
              <w:rPr>
                <w:b/>
                <w:bCs/>
                <w:color w:val="FF0000"/>
                <w:sz w:val="28"/>
                <w:szCs w:val="28"/>
              </w:rPr>
              <w:t>портфельный управляющий УК «Альфа-Капитал»</w:t>
            </w:r>
          </w:p>
          <w:p w:rsidR="004F0B62" w:rsidRDefault="004F0B62">
            <w:pPr>
              <w:rPr>
                <w:b/>
                <w:bCs/>
                <w:color w:val="1F497D"/>
              </w:rPr>
            </w:pPr>
          </w:p>
          <w:p w:rsidR="004F0B62" w:rsidRDefault="004F0B62">
            <w:r>
              <w:t xml:space="preserve">Цены золота и серебра не претерпели больших изменений по итогам прошлой недели. Пятничный рост после плохих данных по рынку труда США компенсировал падение в середине недели. А на рынке платины и палладия наблюдалась коррекция, связанная с возможным окончанием забастовки работников золотодобывающей индустрии ЮАР. Она могла распространиться и на компании, добывающие металлы платиновой группы, поэтому уменьшение этого риска вызвало снижение цен. </w:t>
            </w:r>
          </w:p>
          <w:p w:rsidR="004F0B62" w:rsidRDefault="004F0B62"/>
          <w:p w:rsidR="004F0B62" w:rsidRDefault="004F0B62">
            <w:pPr>
              <w:rPr>
                <w:color w:val="1F497D"/>
              </w:rPr>
            </w:pPr>
            <w:proofErr w:type="gramStart"/>
            <w:r>
              <w:t xml:space="preserve">Основное внимание на рынке сырьевых товаров на прошлой </w:t>
            </w:r>
            <w:proofErr w:type="spellStart"/>
            <w:r>
              <w:t>недел</w:t>
            </w:r>
            <w:proofErr w:type="spellEnd"/>
            <w:r>
              <w:t xml:space="preserve"> опять оказалось сосредоточено на Сирии.</w:t>
            </w:r>
            <w:proofErr w:type="gramEnd"/>
            <w:r>
              <w:t xml:space="preserve"> Поддержка плана проведения военной операции некоторыми представителями законодательного собрания США привела к очередному витку роста цены нефти. Вмешательство западных стран во внутренний конфликт в Сирии может дестабилизировать ситуацию на всем Ближнем Востоке. Однако в текущий момент ситуация вокруг Сирии никакого влияния на баланс спроса и предложения на рынке нефти не оказывает. Гораздо более важна остановка поставок нефти из Ливии из-за протестов работников портов и нападении вооруженных формирований на нефтяные месторождения. Из-за этого добыча в стране упала до минимального с 2011 года уровня в 100 тыс. </w:t>
            </w:r>
            <w:proofErr w:type="spellStart"/>
            <w:r>
              <w:t>барр</w:t>
            </w:r>
            <w:proofErr w:type="spellEnd"/>
            <w:r>
              <w:t xml:space="preserve">. в день (еще 2 месяца назад добывалось 1.4 млн. </w:t>
            </w:r>
            <w:proofErr w:type="spellStart"/>
            <w:r>
              <w:t>барр</w:t>
            </w:r>
            <w:proofErr w:type="spellEnd"/>
            <w:r>
              <w:t>. в день). Этот фактор сейчас более значим для рынка нефти.</w:t>
            </w:r>
          </w:p>
        </w:tc>
        <w:tc>
          <w:tcPr>
            <w:tcW w:w="600" w:type="dxa"/>
            <w:vAlign w:val="center"/>
            <w:hideMark/>
          </w:tcPr>
          <w:p w:rsidR="004F0B62" w:rsidRDefault="004F0B62">
            <w:pPr>
              <w:rPr>
                <w:sz w:val="24"/>
                <w:szCs w:val="24"/>
              </w:rPr>
            </w:pPr>
            <w:r>
              <w:t> </w:t>
            </w:r>
          </w:p>
        </w:tc>
      </w:tr>
    </w:tbl>
    <w:p w:rsidR="00A831C6" w:rsidRDefault="004F0B62">
      <w:r>
        <w:br/>
      </w:r>
    </w:p>
    <w:sectPr w:rsidR="00A831C6" w:rsidSect="00A831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B62"/>
    <w:rsid w:val="003F0FBE"/>
    <w:rsid w:val="004F0B62"/>
    <w:rsid w:val="005F347B"/>
    <w:rsid w:val="00A831C6"/>
    <w:rsid w:val="00BD0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62"/>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B62"/>
    <w:rPr>
      <w:rFonts w:ascii="Tahoma" w:hAnsi="Tahoma" w:cs="Tahoma"/>
      <w:sz w:val="16"/>
      <w:szCs w:val="16"/>
    </w:rPr>
  </w:style>
  <w:style w:type="character" w:customStyle="1" w:styleId="a4">
    <w:name w:val="Текст выноски Знак"/>
    <w:basedOn w:val="a0"/>
    <w:link w:val="a3"/>
    <w:uiPriority w:val="99"/>
    <w:semiHidden/>
    <w:rsid w:val="004F0B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2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3.jpg@01CEAD8A.7A7C1F5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5.jpg@01CEAD8A.7A7C1F50" TargetMode="External"/><Relationship Id="rId5" Type="http://schemas.openxmlformats.org/officeDocument/2006/relationships/image" Target="cid:image002.jpg@01CEAD8A.7A7C1F5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4.jpg@01CEAD8A.7A7C1F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3909</Characters>
  <Application>Microsoft Office Word</Application>
  <DocSecurity>0</DocSecurity>
  <Lines>32</Lines>
  <Paragraphs>9</Paragraphs>
  <ScaleCrop>false</ScaleCrop>
  <Company>Finam</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Aleshina</dc:creator>
  <cp:lastModifiedBy>Aleshina</cp:lastModifiedBy>
  <cp:revision>4</cp:revision>
  <dcterms:created xsi:type="dcterms:W3CDTF">2013-09-09T15:58:00Z</dcterms:created>
  <dcterms:modified xsi:type="dcterms:W3CDTF">2013-09-09T15:59:00Z</dcterms:modified>
</cp:coreProperties>
</file>