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0"/>
        <w:gridCol w:w="8315"/>
      </w:tblGrid>
      <w:tr w:rsidR="000A57A0" w:rsidTr="000A57A0">
        <w:trPr>
          <w:tblCellSpacing w:w="0" w:type="dxa"/>
        </w:trPr>
        <w:tc>
          <w:tcPr>
            <w:tcW w:w="993" w:type="dxa"/>
            <w:vAlign w:val="center"/>
            <w:hideMark/>
          </w:tcPr>
          <w:p w:rsidR="000A57A0" w:rsidRDefault="000A57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938" w:type="dxa"/>
            <w:vAlign w:val="center"/>
          </w:tcPr>
          <w:p w:rsidR="000A57A0" w:rsidRDefault="000A57A0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:rsidR="000A57A0" w:rsidRDefault="000A57A0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Обзор международных финансовых рынков</w:t>
            </w:r>
          </w:p>
          <w:p w:rsidR="000A57A0" w:rsidRDefault="000A57A0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185545" cy="1185545"/>
                  <wp:effectExtent l="19050" t="0" r="0" b="0"/>
                  <wp:docPr id="1" name="Рисунок 1" descr="Описание: C:\Users\k.krokhina\Desktop\MArket_Puls\market_puls\P_Brag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C:\Users\k.krokhina\Desktop\MArket_Puls\market_puls\P_Brag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11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7A0" w:rsidRDefault="000A57A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Владимир Брагин,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директор по анализу финансовых рынков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br/>
              <w:t>и макроэкономики УК «Альфа-Капитал»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1. ММВБ СНОВА ВЫШЕ 1500 ПУНКТОВ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После впечатляющего ралли с середины марта, а также неоднократного отката от 1500 пунктов, ММВБ все-таки взял этот рубеж, отметку, вокруг которой он </w:t>
            </w:r>
            <w:proofErr w:type="gramStart"/>
            <w:r>
              <w:rPr>
                <w:rFonts w:ascii="Arial" w:hAnsi="Arial" w:cs="Arial"/>
              </w:rPr>
              <w:t>колебался последние несколько лет</w:t>
            </w:r>
            <w:proofErr w:type="gramEnd"/>
            <w:r>
              <w:rPr>
                <w:rFonts w:ascii="Arial" w:hAnsi="Arial" w:cs="Arial"/>
              </w:rPr>
              <w:t xml:space="preserve">. Но, как мы не раз </w:t>
            </w:r>
            <w:proofErr w:type="gramStart"/>
            <w:r>
              <w:rPr>
                <w:rFonts w:ascii="Arial" w:hAnsi="Arial" w:cs="Arial"/>
              </w:rPr>
              <w:t>отмечали это не означает</w:t>
            </w:r>
            <w:proofErr w:type="gramEnd"/>
            <w:r>
              <w:rPr>
                <w:rFonts w:ascii="Arial" w:hAnsi="Arial" w:cs="Arial"/>
              </w:rPr>
              <w:t xml:space="preserve">, рост последних трех месяцев трансформируется в долгосрочное ралли. И это несмотря на дешевизну российского рынка по мультипликаторам.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Ситуация в экономике пока росту российского рынка не благоволи. </w:t>
            </w:r>
            <w:proofErr w:type="gramStart"/>
            <w:r>
              <w:rPr>
                <w:rFonts w:ascii="Arial" w:hAnsi="Arial" w:cs="Arial"/>
              </w:rPr>
              <w:t xml:space="preserve">Хотя Росстат опубликовал индекс потребительской уверенности за второй квартал, который увеличился до -6%, против -11%. Оно отразилось на результатах компаний потребительского сектора, работающих в массовом сегменте, частности Магнит, компания зафиксировала рост выручки в июне на 30,63%. А вот статистика по объемам продаж легковых автомобилей рисует обратную картину: июнь стал худшим месяцем в полугодии, зафиксировав снижение на 17,3% г/г. </w:t>
            </w:r>
            <w:proofErr w:type="gramEnd"/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Заработная плата в РФ продолжает расти опережающими темпами, а безработица находится на рекордно низком уровне, </w:t>
            </w:r>
            <w:proofErr w:type="gramStart"/>
            <w:r>
              <w:rPr>
                <w:rFonts w:ascii="Arial" w:hAnsi="Arial" w:cs="Arial"/>
              </w:rPr>
              <w:t>поэтому</w:t>
            </w:r>
            <w:proofErr w:type="gramEnd"/>
            <w:r>
              <w:rPr>
                <w:rFonts w:ascii="Arial" w:hAnsi="Arial" w:cs="Arial"/>
              </w:rPr>
              <w:t xml:space="preserve"> хотя работающие в массовом сегменте компании будут в выигрыше (хотя, возможно, и временно) от текущей ситуации (тот же Магнит или </w:t>
            </w:r>
            <w:proofErr w:type="spellStart"/>
            <w:r>
              <w:rPr>
                <w:rFonts w:ascii="Arial" w:hAnsi="Arial" w:cs="Arial"/>
              </w:rPr>
              <w:t>Дикси</w:t>
            </w:r>
            <w:proofErr w:type="spellEnd"/>
            <w:r>
              <w:rPr>
                <w:rFonts w:ascii="Arial" w:hAnsi="Arial" w:cs="Arial"/>
              </w:rPr>
              <w:t xml:space="preserve">), рост издержек на оплату труда означает снижение прибылей компаний, а значит и уменьшение инвестиций, и отсутствие возможностей для переоценки вверх российских акций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Относительным островком безопасности на российском рынке продолжают оставаться дивидендные бумаги в нефтегазовом секторе. </w:t>
            </w:r>
            <w:proofErr w:type="gramStart"/>
            <w:r>
              <w:rPr>
                <w:rFonts w:ascii="Arial" w:hAnsi="Arial" w:cs="Arial"/>
                <w:b/>
                <w:bCs/>
              </w:rPr>
              <w:t>Упомянутый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выше </w:t>
            </w:r>
            <w:proofErr w:type="spellStart"/>
            <w:r>
              <w:rPr>
                <w:rFonts w:ascii="Arial" w:hAnsi="Arial" w:cs="Arial"/>
                <w:b/>
                <w:bCs/>
              </w:rPr>
              <w:t>потребсектор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интересен пока лишь в качестве краткосрочной ставки.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0000"/>
              </w:rPr>
            </w:pP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2. ОТЛИЧНОЕ НАЧАЛО СЕЗОНА ОТЧЕТНОСТЕЙ США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Сезон отчетностей американских компаний начался позитивно, компания </w:t>
            </w:r>
            <w:proofErr w:type="spellStart"/>
            <w:r>
              <w:rPr>
                <w:rFonts w:ascii="Arial" w:hAnsi="Arial" w:cs="Arial"/>
              </w:rPr>
              <w:t>Alcoa</w:t>
            </w:r>
            <w:proofErr w:type="spellEnd"/>
            <w:r>
              <w:rPr>
                <w:rFonts w:ascii="Arial" w:hAnsi="Arial" w:cs="Arial"/>
              </w:rPr>
              <w:t xml:space="preserve"> показала прибыль на акцию 18 центов, при ожиданиях всего 12 центов. Основным драйвером роста прибыли компании был стабильный рост цен на основную продукцию компании – алюминий.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Хочется еще раз напомнить, что результаты второго квартала, как по экономике США, так и по компаниям должны прояснить ответ на вопрос о том, какова роль сезонных и разовых факторов в падении ВВП и прибылей корпораций в первом квартале, и не является ли это предвестником прохождения пика делового цикла.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Пока инвесторы в США смотрит на все это с настороженностью. Особенно тревожна картина в технологическом секторе, где P/E компаний из индекса </w:t>
            </w:r>
            <w:proofErr w:type="spellStart"/>
            <w:r>
              <w:rPr>
                <w:rFonts w:ascii="Arial" w:hAnsi="Arial" w:cs="Arial"/>
                <w:b/>
                <w:bCs/>
              </w:rPr>
              <w:t>Nasdaq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почти в два раза превышает такой же показатель S&amp;P500. И очень важно, чтобы отчетности компаний оправдали столь высокие ожидания инвесторов.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0000"/>
              </w:rPr>
            </w:pP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3. РУБЛЬ: ТЕХНИЧЕСКОЕ УКРЕПЛЕНИЕ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Рубль, вопреки коррекции нефтяных котировок (баррель </w:t>
            </w:r>
            <w:proofErr w:type="spellStart"/>
            <w:r>
              <w:rPr>
                <w:rFonts w:ascii="Arial" w:hAnsi="Arial" w:cs="Arial"/>
              </w:rPr>
              <w:t>Brent</w:t>
            </w:r>
            <w:proofErr w:type="spellEnd"/>
            <w:r>
              <w:rPr>
                <w:rFonts w:ascii="Arial" w:hAnsi="Arial" w:cs="Arial"/>
              </w:rPr>
              <w:t xml:space="preserve"> подешевел на 2,24%, вернувшись к уровням USD109- 108), на неделе укрепился на 0,32% по отношению к доллару США. </w:t>
            </w:r>
            <w:proofErr w:type="spellStart"/>
            <w:r>
              <w:rPr>
                <w:rFonts w:ascii="Arial" w:hAnsi="Arial" w:cs="Arial"/>
              </w:rPr>
              <w:t>Бивалютная</w:t>
            </w:r>
            <w:proofErr w:type="spellEnd"/>
            <w:r>
              <w:rPr>
                <w:rFonts w:ascii="Arial" w:hAnsi="Arial" w:cs="Arial"/>
              </w:rPr>
              <w:t xml:space="preserve"> корзина подешевела на 0,58%, закрепившись чуть ниже уровня в 40 руб. Как и российские акции, рубль, похоже зажил своей жизнью, следуя больше макроэкономическим факторам и собственной технической картине, чем внешним шокам.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Если смотреть на цену </w:t>
            </w:r>
            <w:proofErr w:type="spellStart"/>
            <w:r>
              <w:rPr>
                <w:rFonts w:ascii="Arial" w:hAnsi="Arial" w:cs="Arial"/>
              </w:rPr>
              <w:t>бивалютной</w:t>
            </w:r>
            <w:proofErr w:type="spellEnd"/>
            <w:r>
              <w:rPr>
                <w:rFonts w:ascii="Arial" w:hAnsi="Arial" w:cs="Arial"/>
              </w:rPr>
              <w:t xml:space="preserve"> корзины, то на наш взгляд устойчивым является диапазон RUB39.0-41.0, внутри которого рубль в ближайшие месяцы будет колебаться в ответ на краткосрочные сезонные факторы, такие как выплаты </w:t>
            </w:r>
            <w:proofErr w:type="gramStart"/>
            <w:r>
              <w:rPr>
                <w:rFonts w:ascii="Arial" w:hAnsi="Arial" w:cs="Arial"/>
              </w:rPr>
              <w:t>дивидендов</w:t>
            </w:r>
            <w:proofErr w:type="gramEnd"/>
            <w:r>
              <w:rPr>
                <w:rFonts w:ascii="Arial" w:hAnsi="Arial" w:cs="Arial"/>
              </w:rPr>
              <w:t xml:space="preserve"> держателям ADR на акции российских компаний, налоговые выплаты, колебания интереса инвесторов к развивающимся рынкам. </w:t>
            </w:r>
          </w:p>
          <w:p w:rsidR="000A57A0" w:rsidRDefault="000A57A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Что касается долгосрочных перспектив, то улучшение торгового баланса и замедление оттока капитала пока работают на укрепление рубля, а высокие рублевые ставки на денежном рынке эффективно будут гасить спекулятивные атаки на рубль, в ответ на внешние шоки. </w:t>
            </w:r>
          </w:p>
          <w:p w:rsidR="000A57A0" w:rsidRDefault="000A57A0">
            <w:pPr>
              <w:rPr>
                <w:color w:val="1F497D"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В сильное укрепление рубля мы тоже пока не верим, так как это, с одной стороны, осложнит задачу балансирования бюджета, а с другой – ухудшит и без того непростую ситуацию в экономике. Поэтому в случае такой угрозы следует ждать ответных действий со стороны ЦБ и правительства.</w:t>
            </w:r>
          </w:p>
        </w:tc>
      </w:tr>
    </w:tbl>
    <w:p w:rsidR="00BD7652" w:rsidRPr="000A57A0" w:rsidRDefault="00BD7652" w:rsidP="000A57A0"/>
    <w:sectPr w:rsidR="00BD7652" w:rsidRPr="000A57A0" w:rsidSect="00DE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B5100"/>
    <w:rsid w:val="00023C25"/>
    <w:rsid w:val="000A57A0"/>
    <w:rsid w:val="000C0896"/>
    <w:rsid w:val="000C3E4C"/>
    <w:rsid w:val="003C1C0D"/>
    <w:rsid w:val="004D36AB"/>
    <w:rsid w:val="005C31E4"/>
    <w:rsid w:val="005D54AB"/>
    <w:rsid w:val="005F3A7E"/>
    <w:rsid w:val="0071666C"/>
    <w:rsid w:val="00806DBA"/>
    <w:rsid w:val="00957EC0"/>
    <w:rsid w:val="00963828"/>
    <w:rsid w:val="00BD7652"/>
    <w:rsid w:val="00CB5100"/>
    <w:rsid w:val="00D22755"/>
    <w:rsid w:val="00DE4898"/>
    <w:rsid w:val="00FD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0D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1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Plain Text"/>
    <w:basedOn w:val="a"/>
    <w:link w:val="a5"/>
    <w:uiPriority w:val="99"/>
    <w:unhideWhenUsed/>
    <w:rsid w:val="00FD15BC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FD15BC"/>
    <w:rPr>
      <w:rFonts w:ascii="Consolas" w:hAnsi="Consolas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FD15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-news-groupsnews-description">
    <w:name w:val="b-news-groups__news-description"/>
    <w:basedOn w:val="a0"/>
    <w:rsid w:val="005D54AB"/>
  </w:style>
  <w:style w:type="character" w:customStyle="1" w:styleId="f-fake-urlt">
    <w:name w:val="f-fake-url__t"/>
    <w:basedOn w:val="a0"/>
    <w:rsid w:val="00BD7652"/>
  </w:style>
  <w:style w:type="character" w:customStyle="1" w:styleId="apple-converted-space">
    <w:name w:val="apple-converted-space"/>
    <w:basedOn w:val="a0"/>
    <w:rsid w:val="00BD7652"/>
  </w:style>
  <w:style w:type="character" w:customStyle="1" w:styleId="f-fake-urlu">
    <w:name w:val="f-fake-url__u"/>
    <w:basedOn w:val="a0"/>
    <w:rsid w:val="00BD7652"/>
  </w:style>
  <w:style w:type="paragraph" w:styleId="a7">
    <w:name w:val="Balloon Text"/>
    <w:basedOn w:val="a"/>
    <w:link w:val="a8"/>
    <w:uiPriority w:val="99"/>
    <w:semiHidden/>
    <w:unhideWhenUsed/>
    <w:rsid w:val="000A57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7A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CF9B94.19BDFB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cp:lastPrinted>2014-07-09T12:24:00Z</cp:lastPrinted>
  <dcterms:created xsi:type="dcterms:W3CDTF">2014-07-09T05:21:00Z</dcterms:created>
  <dcterms:modified xsi:type="dcterms:W3CDTF">2014-07-09T12:50:00Z</dcterms:modified>
</cp:coreProperties>
</file>