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tbl>
      <w:tblPr>
        <w:tblW w:w="10542" w:type="dxa"/>
        <w:tblCellSpacing w:w="0" w:type="dxa"/>
        <w:tblCellMar>
          <w:left w:w="0" w:type="dxa"/>
          <w:right w:w="0" w:type="dxa"/>
        </w:tblCellMar>
        <w:tblLook w:val="04A0" w:firstRow="1" w:lastRow="0" w:firstColumn="1" w:lastColumn="0" w:noHBand="0" w:noVBand="1"/>
      </w:tblPr>
      <w:tblGrid>
        <w:gridCol w:w="6"/>
        <w:gridCol w:w="10530"/>
        <w:gridCol w:w="6"/>
      </w:tblGrid>
      <w:tr w:rsidR="005B0716" w:rsidTr="005B0716">
        <w:trPr>
          <w:tblCellSpacing w:w="0" w:type="dxa"/>
        </w:trPr>
        <w:tc>
          <w:tcPr>
            <w:tcW w:w="0" w:type="auto"/>
            <w:vAlign w:val="center"/>
            <w:hideMark/>
          </w:tcPr>
          <w:p w:rsidR="005B0716" w:rsidRDefault="005B0716"/>
        </w:tc>
        <w:tc>
          <w:tcPr>
            <w:tcW w:w="0" w:type="auto"/>
            <w:vAlign w:val="center"/>
            <w:hideMark/>
          </w:tcPr>
          <w:tbl>
            <w:tblPr>
              <w:tblW w:w="10530" w:type="dxa"/>
              <w:tblCellSpacing w:w="0" w:type="dxa"/>
              <w:tblCellMar>
                <w:left w:w="0" w:type="dxa"/>
                <w:right w:w="0" w:type="dxa"/>
              </w:tblCellMar>
              <w:tblLook w:val="04A0" w:firstRow="1" w:lastRow="0" w:firstColumn="1" w:lastColumn="0" w:noHBand="0" w:noVBand="1"/>
            </w:tblPr>
            <w:tblGrid>
              <w:gridCol w:w="10530"/>
            </w:tblGrid>
            <w:tr w:rsidR="005B0716" w:rsidTr="005B0716">
              <w:trPr>
                <w:tblCellSpacing w:w="0" w:type="dxa"/>
              </w:trPr>
              <w:tc>
                <w:tcPr>
                  <w:tcW w:w="0" w:type="auto"/>
                  <w:vAlign w:val="center"/>
                  <w:hideMark/>
                </w:tcPr>
                <w:p w:rsidR="005B0716" w:rsidRDefault="005B0716">
                  <w:pPr>
                    <w:rPr>
                      <w:sz w:val="24"/>
                      <w:szCs w:val="24"/>
                    </w:rPr>
                  </w:pPr>
                  <w:r>
                    <w:rPr>
                      <w:rFonts w:ascii="Arial" w:hAnsi="Arial" w:cs="Arial"/>
                      <w:noProof/>
                      <w:color w:val="1F497D"/>
                      <w:sz w:val="26"/>
                      <w:szCs w:val="26"/>
                      <w:lang w:eastAsia="ru-RU"/>
                    </w:rPr>
                    <w:drawing>
                      <wp:inline distT="0" distB="0" distL="0" distR="0">
                        <wp:extent cx="6677025" cy="2449830"/>
                        <wp:effectExtent l="0" t="0" r="9525" b="7620"/>
                        <wp:docPr id="5" name="Рисунок 5" descr="cid:image001.jpg@01CE7F0D.5D52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jpg@01CE7F0D.5D5225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677025" cy="2449830"/>
                                </a:xfrm>
                                <a:prstGeom prst="rect">
                                  <a:avLst/>
                                </a:prstGeom>
                                <a:noFill/>
                                <a:ln>
                                  <a:noFill/>
                                </a:ln>
                              </pic:spPr>
                            </pic:pic>
                          </a:graphicData>
                        </a:graphic>
                      </wp:inline>
                    </w:drawing>
                  </w:r>
                </w:p>
              </w:tc>
            </w:tr>
            <w:tr w:rsidR="005B0716" w:rsidTr="005B0716">
              <w:trPr>
                <w:tblCellSpacing w:w="0" w:type="dxa"/>
              </w:trPr>
              <w:tc>
                <w:tcPr>
                  <w:tcW w:w="0" w:type="auto"/>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409"/>
                    <w:gridCol w:w="10115"/>
                    <w:gridCol w:w="6"/>
                  </w:tblGrid>
                  <w:tr w:rsidR="005B0716">
                    <w:trPr>
                      <w:trHeight w:val="150"/>
                      <w:tblCellSpacing w:w="0" w:type="dxa"/>
                    </w:trPr>
                    <w:tc>
                      <w:tcPr>
                        <w:tcW w:w="408" w:type="dxa"/>
                        <w:shd w:val="clear" w:color="auto" w:fill="FFFFFF"/>
                        <w:vAlign w:val="center"/>
                        <w:hideMark/>
                      </w:tcPr>
                      <w:p w:rsidR="005B0716" w:rsidRDefault="005B0716"/>
                    </w:tc>
                    <w:tc>
                      <w:tcPr>
                        <w:tcW w:w="10101" w:type="dxa"/>
                        <w:shd w:val="clear" w:color="auto" w:fill="FFFFFF"/>
                        <w:vAlign w:val="center"/>
                        <w:hideMark/>
                      </w:tcPr>
                      <w:p w:rsidR="005B0716" w:rsidRDefault="005B0716">
                        <w:pPr>
                          <w:rPr>
                            <w:rFonts w:eastAsia="Times New Roman"/>
                            <w:sz w:val="20"/>
                            <w:szCs w:val="20"/>
                          </w:rPr>
                        </w:pPr>
                      </w:p>
                    </w:tc>
                    <w:tc>
                      <w:tcPr>
                        <w:tcW w:w="6" w:type="dxa"/>
                        <w:shd w:val="clear" w:color="auto" w:fill="FFFFFF"/>
                        <w:vAlign w:val="center"/>
                        <w:hideMark/>
                      </w:tcPr>
                      <w:p w:rsidR="005B0716" w:rsidRDefault="005B0716">
                        <w:pPr>
                          <w:rPr>
                            <w:rFonts w:eastAsia="Times New Roman"/>
                            <w:sz w:val="20"/>
                            <w:szCs w:val="20"/>
                          </w:rPr>
                        </w:pPr>
                      </w:p>
                    </w:tc>
                  </w:tr>
                  <w:tr w:rsidR="005B0716">
                    <w:trPr>
                      <w:trHeight w:val="420"/>
                      <w:tblCellSpacing w:w="0" w:type="dxa"/>
                    </w:trPr>
                    <w:tc>
                      <w:tcPr>
                        <w:tcW w:w="408" w:type="dxa"/>
                        <w:vAlign w:val="center"/>
                        <w:hideMark/>
                      </w:tcPr>
                      <w:p w:rsidR="005B0716" w:rsidRDefault="005B0716">
                        <w:pPr>
                          <w:rPr>
                            <w:sz w:val="24"/>
                            <w:szCs w:val="24"/>
                          </w:rPr>
                        </w:pPr>
                        <w:r>
                          <w:rPr>
                            <w:rFonts w:ascii="Arial" w:hAnsi="Arial" w:cs="Arial"/>
                            <w:sz w:val="26"/>
                            <w:szCs w:val="26"/>
                          </w:rPr>
                          <w:t> </w:t>
                        </w:r>
                      </w:p>
                    </w:tc>
                    <w:tc>
                      <w:tcPr>
                        <w:tcW w:w="10101" w:type="dxa"/>
                        <w:vAlign w:val="center"/>
                        <w:hideMark/>
                      </w:tcPr>
                      <w:p w:rsidR="005B0716" w:rsidRDefault="005B0716"/>
                    </w:tc>
                    <w:tc>
                      <w:tcPr>
                        <w:tcW w:w="6" w:type="dxa"/>
                        <w:vAlign w:val="center"/>
                        <w:hideMark/>
                      </w:tcPr>
                      <w:p w:rsidR="005B0716" w:rsidRDefault="005B0716">
                        <w:pPr>
                          <w:rPr>
                            <w:rFonts w:eastAsia="Times New Roman"/>
                            <w:sz w:val="20"/>
                            <w:szCs w:val="20"/>
                          </w:rPr>
                        </w:pPr>
                      </w:p>
                    </w:tc>
                  </w:tr>
                  <w:tr w:rsidR="005B0716">
                    <w:trPr>
                      <w:tblCellSpacing w:w="0" w:type="dxa"/>
                    </w:trPr>
                    <w:tc>
                      <w:tcPr>
                        <w:tcW w:w="408" w:type="dxa"/>
                        <w:vAlign w:val="center"/>
                        <w:hideMark/>
                      </w:tcPr>
                      <w:p w:rsidR="005B0716" w:rsidRDefault="005B0716">
                        <w:pPr>
                          <w:rPr>
                            <w:rFonts w:eastAsia="Times New Roman"/>
                            <w:sz w:val="20"/>
                            <w:szCs w:val="20"/>
                          </w:rPr>
                        </w:pPr>
                      </w:p>
                    </w:tc>
                    <w:tc>
                      <w:tcPr>
                        <w:tcW w:w="10101" w:type="dxa"/>
                        <w:vAlign w:val="center"/>
                        <w:hideMark/>
                      </w:tcPr>
                      <w:tbl>
                        <w:tblPr>
                          <w:tblW w:w="4315" w:type="pct"/>
                          <w:tblCellSpacing w:w="0" w:type="dxa"/>
                          <w:tblCellMar>
                            <w:left w:w="0" w:type="dxa"/>
                            <w:right w:w="0" w:type="dxa"/>
                          </w:tblCellMar>
                          <w:tblLook w:val="04A0" w:firstRow="1" w:lastRow="0" w:firstColumn="1" w:lastColumn="0" w:noHBand="0" w:noVBand="1"/>
                        </w:tblPr>
                        <w:tblGrid>
                          <w:gridCol w:w="8656"/>
                          <w:gridCol w:w="73"/>
                        </w:tblGrid>
                        <w:tr w:rsidR="005B0716" w:rsidTr="00111EDA">
                          <w:trPr>
                            <w:tblCellSpacing w:w="0" w:type="dxa"/>
                          </w:trPr>
                          <w:tc>
                            <w:tcPr>
                              <w:tcW w:w="4958" w:type="pct"/>
                              <w:vAlign w:val="center"/>
                              <w:hideMark/>
                            </w:tcPr>
                            <w:p w:rsidR="005B0716" w:rsidRDefault="005B0716">
                              <w:pPr>
                                <w:rPr>
                                  <w:sz w:val="24"/>
                                  <w:szCs w:val="24"/>
                                </w:rPr>
                              </w:pPr>
                              <w:r>
                                <w:rPr>
                                  <w:rFonts w:ascii="Arial" w:hAnsi="Arial" w:cs="Arial"/>
                                  <w:color w:val="1F497D"/>
                                  <w:sz w:val="26"/>
                                  <w:szCs w:val="26"/>
                                </w:rPr>
                                <w:t> </w:t>
                              </w:r>
                              <w:r>
                                <w:rPr>
                                  <w:rFonts w:ascii="Arial" w:hAnsi="Arial" w:cs="Arial"/>
                                  <w:b/>
                                  <w:bCs/>
                                  <w:sz w:val="26"/>
                                  <w:szCs w:val="26"/>
                                </w:rPr>
                                <w:t>Рынок акций</w:t>
                              </w:r>
                            </w:p>
                            <w:p w:rsidR="005B0716" w:rsidRDefault="005B0716">
                              <w:r>
                                <w:rPr>
                                  <w:rFonts w:ascii="Arial" w:hAnsi="Arial" w:cs="Arial"/>
                                  <w:sz w:val="26"/>
                                  <w:szCs w:val="26"/>
                                </w:rPr>
                                <w:t> </w:t>
                              </w:r>
                            </w:p>
                            <w:p w:rsidR="005B0716" w:rsidRDefault="005B0716">
                              <w:pPr>
                                <w:spacing w:after="240"/>
                              </w:pPr>
                              <w:r>
                                <w:rPr>
                                  <w:rFonts w:ascii="Arial" w:hAnsi="Arial" w:cs="Arial"/>
                                  <w:noProof/>
                                  <w:sz w:val="26"/>
                                  <w:szCs w:val="26"/>
                                  <w:lang w:eastAsia="ru-RU"/>
                                </w:rPr>
                                <w:drawing>
                                  <wp:inline distT="0" distB="0" distL="0" distR="0">
                                    <wp:extent cx="1190625" cy="1190625"/>
                                    <wp:effectExtent l="0" t="0" r="9525" b="9525"/>
                                    <wp:docPr id="4" name="Рисунок 4"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id:image002.jpg@01CE7D8D.1A6B3F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5B0716" w:rsidRDefault="005B0716">
                              <w:r>
                                <w:rPr>
                                  <w:rFonts w:ascii="Arial" w:hAnsi="Arial" w:cs="Arial"/>
                                  <w:b/>
                                  <w:bCs/>
                                  <w:sz w:val="26"/>
                                  <w:szCs w:val="26"/>
                                </w:rPr>
                                <w:t>Владимир Брагин,</w:t>
                              </w:r>
                              <w:r>
                                <w:rPr>
                                  <w:rFonts w:ascii="Arial" w:hAnsi="Arial" w:cs="Arial"/>
                                  <w:b/>
                                  <w:bCs/>
                                  <w:sz w:val="26"/>
                                  <w:szCs w:val="26"/>
                                </w:rPr>
                                <w:br/>
                              </w:r>
                              <w:r>
                                <w:rPr>
                                  <w:rFonts w:ascii="Arial" w:hAnsi="Arial" w:cs="Arial"/>
                                  <w:b/>
                                  <w:bCs/>
                                  <w:color w:val="FF0000"/>
                                  <w:sz w:val="26"/>
                                  <w:szCs w:val="26"/>
                                </w:rPr>
                                <w:t>директор по анализу финансовых рынков</w:t>
                              </w:r>
                              <w:r>
                                <w:rPr>
                                  <w:rFonts w:ascii="Arial" w:hAnsi="Arial" w:cs="Arial"/>
                                  <w:b/>
                                  <w:bCs/>
                                  <w:color w:val="FF0000"/>
                                  <w:sz w:val="26"/>
                                  <w:szCs w:val="26"/>
                                </w:rPr>
                                <w:br/>
                                <w:t>и макроэкономики УК «Альфа-Капитал»</w:t>
                              </w:r>
                            </w:p>
                            <w:p w:rsidR="005B0716" w:rsidRDefault="005B0716">
                              <w:pPr>
                                <w:jc w:val="both"/>
                              </w:pPr>
                              <w:r>
                                <w:rPr>
                                  <w:rFonts w:ascii="Arial" w:hAnsi="Arial" w:cs="Arial"/>
                                  <w:color w:val="1F497D"/>
                                </w:rPr>
                                <w:t> </w:t>
                              </w:r>
                            </w:p>
                            <w:p w:rsidR="005B0716" w:rsidRDefault="005B0716">
                              <w:pPr>
                                <w:pStyle w:val="a30"/>
                              </w:pPr>
                              <w:r>
                                <w:rPr>
                                  <w:rFonts w:ascii="Arial" w:hAnsi="Arial" w:cs="Arial"/>
                                  <w:sz w:val="24"/>
                                  <w:szCs w:val="24"/>
                                </w:rPr>
                                <w:t xml:space="preserve">Повышенный спрос на защитные активы постепенно сходит на нет, при том что «аппетиты к риску» пока еще остаются ниже средних значений (индекс VIX выше 16 пунктов). </w:t>
                              </w:r>
                              <w:r>
                                <w:rPr>
                                  <w:rFonts w:ascii="Arial" w:hAnsi="Arial" w:cs="Arial"/>
                                  <w:sz w:val="24"/>
                                  <w:szCs w:val="24"/>
                                </w:rPr>
                                <w:br/>
                                <w:t xml:space="preserve">В краткосрочной перспективе это позволяет увидеть сильное движение вверх на фоне разворота инвесторов в сторону риска, причем как на развитых, так и на развивающихся фондовых рынках. Ослабление валют развивающихся стран по отношению к доллару может стать стимулом для роста экономик развивающихся рынков за счет роста рентабельности локальных производств, ориентированных на экспорт. В свою очередь, это будет стимулировать приток инвестиций на эти рынки, в том числе и через механизмы фондового рынка. </w:t>
                              </w:r>
                            </w:p>
                            <w:p w:rsidR="005B0716" w:rsidRDefault="005B0716">
                              <w:pPr>
                                <w:pStyle w:val="a30"/>
                              </w:pPr>
                              <w:r>
                                <w:rPr>
                                  <w:rFonts w:ascii="Arial" w:hAnsi="Arial" w:cs="Arial"/>
                                  <w:sz w:val="24"/>
                                  <w:szCs w:val="24"/>
                                </w:rPr>
                                <w:t>Все это применимо и к росс</w:t>
                              </w:r>
                              <w:bookmarkStart w:id="0" w:name="_GoBack"/>
                              <w:bookmarkEnd w:id="0"/>
                              <w:r>
                                <w:rPr>
                                  <w:rFonts w:ascii="Arial" w:hAnsi="Arial" w:cs="Arial"/>
                                  <w:sz w:val="24"/>
                                  <w:szCs w:val="24"/>
                                </w:rPr>
                                <w:t xml:space="preserve">ийскому рынку, остающемуся одним из самых дешевых среди крупных рынков и, соответственно, обладающему высоким потенциалом роста. Если оценка геополитического риска будет снижаться, то ставку на быстрый рост российского рынка могут поставить крупные инвесторы, что привлечет большой объем средств на рынок. </w:t>
                              </w:r>
                            </w:p>
                            <w:p w:rsidR="005B0716" w:rsidRDefault="005B0716">
                              <w:pPr>
                                <w:pStyle w:val="a30"/>
                              </w:pPr>
                              <w:r>
                                <w:rPr>
                                  <w:rFonts w:ascii="Arial" w:hAnsi="Arial" w:cs="Arial"/>
                                  <w:sz w:val="24"/>
                                  <w:szCs w:val="24"/>
                                </w:rPr>
                                <w:lastRenderedPageBreak/>
                                <w:t>Пока мы наблюдаем продолжающуюся «торговлю по заголовкам», и до принятия каких-либо решений по Украине кардинального изменения ситуации не произойдет.</w:t>
                              </w:r>
                            </w:p>
                            <w:p w:rsidR="005B0716" w:rsidRDefault="005B0716">
                              <w:pPr>
                                <w:pStyle w:val="a30"/>
                              </w:pPr>
                              <w:r>
                                <w:rPr>
                                  <w:rFonts w:ascii="Arial" w:hAnsi="Arial" w:cs="Arial"/>
                                  <w:b/>
                                  <w:bCs/>
                                  <w:sz w:val="24"/>
                                  <w:szCs w:val="24"/>
                                </w:rPr>
                                <w:t xml:space="preserve">В наших фондах мы постепенно наращивали экспозицию на Россию через покупку акций компаний-экспортеров, например металлургов и нефтяников, и на данный момент доля российских ценных бумаг в большинстве фондов превышает 50%. Тем не менее пока мы не спешим полностью закрывать позиции в иностранных акциях, обеспечивая с помощью них необходимый уровень диверсификации и защищая портфель от специфического российского рынка. </w:t>
                              </w:r>
                            </w:p>
                            <w:p w:rsidR="005B0716" w:rsidRDefault="005B0716">
                              <w:pPr>
                                <w:jc w:val="both"/>
                              </w:pPr>
                              <w:r>
                                <w:rPr>
                                  <w:rFonts w:ascii="Arial" w:hAnsi="Arial" w:cs="Arial"/>
                                  <w:color w:val="FF0000"/>
                                </w:rPr>
                                <w:t> </w:t>
                              </w:r>
                            </w:p>
                            <w:p w:rsidR="005B0716" w:rsidRDefault="005B0716">
                              <w:pPr>
                                <w:pStyle w:val="a50"/>
                              </w:pPr>
                              <w:r>
                                <w:rPr>
                                  <w:sz w:val="24"/>
                                  <w:szCs w:val="24"/>
                                </w:rPr>
                                <w:t> </w:t>
                              </w:r>
                            </w:p>
                            <w:p w:rsidR="005B0716" w:rsidRDefault="005B0716">
                              <w:r>
                                <w:rPr>
                                  <w:color w:val="1F497D"/>
                                </w:rPr>
                                <w:t> </w:t>
                              </w:r>
                            </w:p>
                            <w:p w:rsidR="005B0716" w:rsidRDefault="005B0716">
                              <w:r>
                                <w:rPr>
                                  <w:rFonts w:ascii="Arial" w:hAnsi="Arial" w:cs="Arial"/>
                                  <w:b/>
                                  <w:bCs/>
                                  <w:sz w:val="26"/>
                                  <w:szCs w:val="26"/>
                                </w:rPr>
                                <w:t>Рынок облигаций</w:t>
                              </w:r>
                            </w:p>
                            <w:p w:rsidR="005B0716" w:rsidRDefault="005B0716">
                              <w:pPr>
                                <w:spacing w:after="240"/>
                              </w:pPr>
                              <w:r>
                                <w:rPr>
                                  <w:rFonts w:ascii="Arial" w:hAnsi="Arial" w:cs="Arial"/>
                                  <w:noProof/>
                                  <w:sz w:val="26"/>
                                  <w:szCs w:val="26"/>
                                  <w:lang w:eastAsia="ru-RU"/>
                                </w:rPr>
                                <w:drawing>
                                  <wp:inline distT="0" distB="0" distL="0" distR="0">
                                    <wp:extent cx="1190625" cy="1190625"/>
                                    <wp:effectExtent l="0" t="0" r="9525" b="9525"/>
                                    <wp:docPr id="3" name="Рисунок 3" descr="cid:image004.jpg@01CE7BFE.B94C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id:image004.jpg@01CE7BFE.B94C54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5B0716" w:rsidRDefault="005B0716">
                              <w:r>
                                <w:rPr>
                                  <w:rFonts w:ascii="Arial" w:hAnsi="Arial" w:cs="Arial"/>
                                  <w:b/>
                                  <w:bCs/>
                                  <w:sz w:val="26"/>
                                  <w:szCs w:val="26"/>
                                </w:rPr>
                                <w:t>Алексей Губин, </w:t>
                              </w:r>
                              <w:r>
                                <w:rPr>
                                  <w:rFonts w:ascii="Arial" w:hAnsi="Arial" w:cs="Arial"/>
                                  <w:b/>
                                  <w:bCs/>
                                  <w:sz w:val="26"/>
                                  <w:szCs w:val="26"/>
                                </w:rPr>
                                <w:br/>
                              </w:r>
                              <w:r>
                                <w:rPr>
                                  <w:rFonts w:ascii="Arial" w:hAnsi="Arial" w:cs="Arial"/>
                                  <w:b/>
                                  <w:bCs/>
                                  <w:color w:val="FF0000"/>
                                  <w:sz w:val="26"/>
                                  <w:szCs w:val="26"/>
                                </w:rPr>
                                <w:t>аналитик УК «Альфа-Капитал»</w:t>
                              </w:r>
                            </w:p>
                            <w:p w:rsidR="005B0716" w:rsidRDefault="005B0716">
                              <w:pPr>
                                <w:pStyle w:val="a30"/>
                              </w:pPr>
                              <w:r>
                                <w:rPr>
                                  <w:rFonts w:ascii="Arial" w:hAnsi="Arial" w:cs="Arial"/>
                                  <w:sz w:val="22"/>
                                  <w:szCs w:val="22"/>
                                </w:rPr>
                                <w:t xml:space="preserve">Стабилизация цен на нефть и две встречи, посвященные урегулированию украинского кризиса, предопределили динамику российского облигационного рынка на прошлой неделе. ОФЗ показали более чем достойный результат: бенчмарк – </w:t>
                              </w:r>
                              <w:r>
                                <w:rPr>
                                  <w:rFonts w:ascii="Arial" w:hAnsi="Arial" w:cs="Arial"/>
                                  <w:b/>
                                  <w:bCs/>
                                  <w:sz w:val="22"/>
                                  <w:szCs w:val="22"/>
                                </w:rPr>
                                <w:t>ОФЗ 26207</w:t>
                              </w:r>
                              <w:r>
                                <w:rPr>
                                  <w:rFonts w:ascii="Arial" w:hAnsi="Arial" w:cs="Arial"/>
                                  <w:sz w:val="22"/>
                                  <w:szCs w:val="22"/>
                                </w:rPr>
                                <w:t xml:space="preserve"> – прибавил за неделю порядка 5%, а доходность снизилась до 12,3% годовых – минимум с декабря 2014 года. Мы видели спрос в качественных корпоративных эмитентах, но ликвидность на рублевом рынке все еще остается достаточно слабой. </w:t>
                              </w:r>
                            </w:p>
                            <w:p w:rsidR="005B0716" w:rsidRDefault="005B0716">
                              <w:pPr>
                                <w:pStyle w:val="a30"/>
                              </w:pPr>
                              <w:r>
                                <w:rPr>
                                  <w:rFonts w:ascii="Arial" w:hAnsi="Arial" w:cs="Arial"/>
                                  <w:sz w:val="22"/>
                                  <w:szCs w:val="22"/>
                                </w:rPr>
                                <w:t xml:space="preserve">На рынке евробондов в среду – пятницу также было полномасштабное ралли, причем росли практически все сектора рынка. </w:t>
                              </w:r>
                              <w:r>
                                <w:rPr>
                                  <w:rFonts w:ascii="Arial" w:hAnsi="Arial" w:cs="Arial"/>
                                  <w:b/>
                                  <w:bCs/>
                                  <w:sz w:val="22"/>
                                  <w:szCs w:val="22"/>
                                </w:rPr>
                                <w:t>Россия-30</w:t>
                              </w:r>
                              <w:r>
                                <w:rPr>
                                  <w:rFonts w:ascii="Arial" w:hAnsi="Arial" w:cs="Arial"/>
                                  <w:sz w:val="22"/>
                                  <w:szCs w:val="22"/>
                                </w:rPr>
                                <w:t xml:space="preserve"> закрылась в районе 104% от номинала (+4% за неделю), хороший спрос был виден в качественных корпоративных и банковских инструментах с погашением в 2017–2019 годах.</w:t>
                              </w:r>
                            </w:p>
                            <w:p w:rsidR="005B0716" w:rsidRDefault="005B0716">
                              <w:pPr>
                                <w:pStyle w:val="a30"/>
                              </w:pPr>
                              <w:r>
                                <w:rPr>
                                  <w:rFonts w:ascii="Arial" w:hAnsi="Arial" w:cs="Arial"/>
                                  <w:sz w:val="22"/>
                                  <w:szCs w:val="22"/>
                                </w:rPr>
                                <w:t xml:space="preserve">Мы полагаем, что динамика рынка в ближайшее время будет определяться все теми же факторами: это нефть и украинский кризис. В частности, анонсированная на среду минская встреча «нормандской четверки» является основным политическим событием 2015 года. </w:t>
                              </w:r>
                              <w:r>
                                <w:rPr>
                                  <w:rFonts w:ascii="Arial" w:hAnsi="Arial" w:cs="Arial"/>
                                  <w:b/>
                                  <w:bCs/>
                                  <w:sz w:val="22"/>
                                  <w:szCs w:val="22"/>
                                </w:rPr>
                                <w:t>Успех встречи (подписание каких-либо документов и/или достижение договоренностей) может спровоцировать еще большее ралли на российском долговом рынке, особенно учитывая, что иностранные инвесторы сейчас существенно «недовешены» российскими долговыми инструментами, которые из всех крупных долговых рынков на сегодняшний день предлагают наиболее высокую доходность</w:t>
                              </w:r>
                              <w:r>
                                <w:rPr>
                                  <w:rFonts w:ascii="Arial" w:hAnsi="Arial" w:cs="Arial"/>
                                  <w:sz w:val="22"/>
                                  <w:szCs w:val="22"/>
                                </w:rPr>
                                <w:t>.</w:t>
                              </w:r>
                            </w:p>
                            <w:p w:rsidR="005B0716" w:rsidRDefault="005B0716">
                              <w:pPr>
                                <w:pStyle w:val="a30"/>
                                <w:rPr>
                                  <w:rFonts w:ascii="Arial" w:hAnsi="Arial" w:cs="Arial"/>
                                  <w:sz w:val="20"/>
                                  <w:szCs w:val="20"/>
                                </w:rPr>
                              </w:pPr>
                              <w:r>
                                <w:rPr>
                                  <w:rFonts w:ascii="Arial" w:hAnsi="Arial" w:cs="Arial"/>
                                  <w:sz w:val="20"/>
                                  <w:szCs w:val="20"/>
                                </w:rPr>
                                <w:t> </w:t>
                              </w:r>
                            </w:p>
                            <w:p w:rsidR="005B0716" w:rsidRDefault="005B0716">
                              <w:pPr>
                                <w:pStyle w:val="a30"/>
                                <w:rPr>
                                  <w:rFonts w:ascii="Arial" w:hAnsi="Arial" w:cs="Arial"/>
                                  <w:sz w:val="20"/>
                                  <w:szCs w:val="20"/>
                                </w:rPr>
                              </w:pPr>
                            </w:p>
                            <w:p w:rsidR="005B0716" w:rsidRDefault="005B0716">
                              <w:pPr>
                                <w:pStyle w:val="a30"/>
                                <w:rPr>
                                  <w:rFonts w:ascii="Arial" w:hAnsi="Arial" w:cs="Arial"/>
                                  <w:sz w:val="20"/>
                                  <w:szCs w:val="20"/>
                                </w:rPr>
                              </w:pPr>
                            </w:p>
                            <w:p w:rsidR="005B0716" w:rsidRDefault="005B0716">
                              <w:pPr>
                                <w:pStyle w:val="a30"/>
                                <w:rPr>
                                  <w:rFonts w:ascii="Arial" w:hAnsi="Arial" w:cs="Arial"/>
                                  <w:sz w:val="20"/>
                                  <w:szCs w:val="20"/>
                                </w:rPr>
                              </w:pPr>
                            </w:p>
                            <w:p w:rsidR="005B0716" w:rsidRDefault="005B0716">
                              <w:pPr>
                                <w:pStyle w:val="a30"/>
                                <w:rPr>
                                  <w:rFonts w:ascii="Arial" w:hAnsi="Arial" w:cs="Arial"/>
                                  <w:sz w:val="20"/>
                                  <w:szCs w:val="20"/>
                                </w:rPr>
                              </w:pPr>
                            </w:p>
                            <w:p w:rsidR="005B0716" w:rsidRDefault="005B0716">
                              <w:pPr>
                                <w:pStyle w:val="a30"/>
                              </w:pPr>
                              <w:r>
                                <w:rPr>
                                  <w:rFonts w:ascii="Arial" w:hAnsi="Arial" w:cs="Arial"/>
                                  <w:sz w:val="20"/>
                                  <w:szCs w:val="20"/>
                                </w:rPr>
                                <w:lastRenderedPageBreak/>
                                <w:t> </w:t>
                              </w:r>
                            </w:p>
                            <w:p w:rsidR="005B0716" w:rsidRDefault="005B0716">
                              <w:r>
                                <w:rPr>
                                  <w:rFonts w:ascii="Arial" w:hAnsi="Arial" w:cs="Arial"/>
                                  <w:b/>
                                  <w:bCs/>
                                  <w:sz w:val="26"/>
                                  <w:szCs w:val="26"/>
                                </w:rPr>
                                <w:t>Рынок сырьевых товаров</w:t>
                              </w:r>
                            </w:p>
                            <w:p w:rsidR="005B0716" w:rsidRDefault="005B0716">
                              <w:pPr>
                                <w:spacing w:after="240"/>
                              </w:pPr>
                              <w:r>
                                <w:rPr>
                                  <w:rFonts w:ascii="Arial" w:hAnsi="Arial" w:cs="Arial"/>
                                  <w:noProof/>
                                  <w:sz w:val="26"/>
                                  <w:szCs w:val="26"/>
                                  <w:lang w:eastAsia="ru-RU"/>
                                </w:rPr>
                                <w:drawing>
                                  <wp:inline distT="0" distB="0" distL="0" distR="0">
                                    <wp:extent cx="1121410" cy="1121410"/>
                                    <wp:effectExtent l="0" t="0" r="2540" b="2540"/>
                                    <wp:docPr id="2" name="Рисунок 2"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id:image002.jpg@01CE7D8D.1A6B3F6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p>
                            <w:p w:rsidR="005B0716" w:rsidRDefault="005B0716">
                              <w:r>
                                <w:rPr>
                                  <w:rFonts w:ascii="Arial" w:hAnsi="Arial" w:cs="Arial"/>
                                  <w:b/>
                                  <w:bCs/>
                                  <w:color w:val="1F497D"/>
                                  <w:sz w:val="26"/>
                                  <w:szCs w:val="26"/>
                                </w:rPr>
                                <w:t> </w:t>
                              </w:r>
                            </w:p>
                            <w:p w:rsidR="005B0716" w:rsidRDefault="005B0716">
                              <w:r>
                                <w:rPr>
                                  <w:rFonts w:ascii="Calibri" w:hAnsi="Calibri"/>
                                  <w:b/>
                                  <w:bCs/>
                                  <w:color w:val="1F497D"/>
                                </w:rPr>
                                <w:t> </w:t>
                              </w:r>
                            </w:p>
                            <w:p w:rsidR="005B0716" w:rsidRDefault="005B0716">
                              <w:r>
                                <w:rPr>
                                  <w:rFonts w:ascii="Arial" w:hAnsi="Arial" w:cs="Arial"/>
                                  <w:b/>
                                  <w:bCs/>
                                  <w:sz w:val="26"/>
                                  <w:szCs w:val="26"/>
                                </w:rPr>
                                <w:t>Владимир Брагин,</w:t>
                              </w:r>
                              <w:r>
                                <w:rPr>
                                  <w:rFonts w:ascii="Arial" w:hAnsi="Arial" w:cs="Arial"/>
                                  <w:b/>
                                  <w:bCs/>
                                  <w:sz w:val="26"/>
                                  <w:szCs w:val="26"/>
                                </w:rPr>
                                <w:br/>
                              </w:r>
                              <w:r>
                                <w:rPr>
                                  <w:rFonts w:ascii="Arial" w:hAnsi="Arial" w:cs="Arial"/>
                                  <w:b/>
                                  <w:bCs/>
                                  <w:color w:val="FF0000"/>
                                  <w:sz w:val="26"/>
                                  <w:szCs w:val="26"/>
                                </w:rPr>
                                <w:t>директор по анализу финансовых рынков</w:t>
                              </w:r>
                              <w:r>
                                <w:rPr>
                                  <w:rFonts w:ascii="Arial" w:hAnsi="Arial" w:cs="Arial"/>
                                  <w:b/>
                                  <w:bCs/>
                                  <w:color w:val="FF0000"/>
                                  <w:sz w:val="26"/>
                                  <w:szCs w:val="26"/>
                                </w:rPr>
                                <w:br/>
                                <w:t>и макроэкономики УК «Альфа-Капитал»</w:t>
                              </w:r>
                            </w:p>
                            <w:p w:rsidR="005B0716" w:rsidRDefault="005B0716">
                              <w:pPr>
                                <w:pStyle w:val="a30"/>
                                <w:spacing w:after="120"/>
                              </w:pPr>
                              <w:r>
                                <w:rPr>
                                  <w:rFonts w:ascii="Arial" w:hAnsi="Arial" w:cs="Arial"/>
                                  <w:sz w:val="22"/>
                                  <w:szCs w:val="22"/>
                                </w:rPr>
                                <w:t xml:space="preserve">Цены на нефть марки </w:t>
                              </w:r>
                              <w:r>
                                <w:rPr>
                                  <w:rFonts w:ascii="Arial" w:hAnsi="Arial" w:cs="Arial"/>
                                  <w:sz w:val="22"/>
                                  <w:szCs w:val="22"/>
                                  <w:lang w:val="en-US"/>
                                </w:rPr>
                                <w:t>Brent</w:t>
                              </w:r>
                              <w:r w:rsidRPr="005B0716">
                                <w:rPr>
                                  <w:rFonts w:ascii="Arial" w:hAnsi="Arial" w:cs="Arial"/>
                                  <w:sz w:val="22"/>
                                  <w:szCs w:val="22"/>
                                </w:rPr>
                                <w:t xml:space="preserve"> </w:t>
                              </w:r>
                              <w:r>
                                <w:rPr>
                                  <w:rFonts w:ascii="Arial" w:hAnsi="Arial" w:cs="Arial"/>
                                  <w:sz w:val="22"/>
                                  <w:szCs w:val="22"/>
                                </w:rPr>
                                <w:t xml:space="preserve">за прошедшую неделю выросли более чем на 10%. Триггерами стали новости о снижении </w:t>
                              </w:r>
                              <w:r>
                                <w:rPr>
                                  <w:rFonts w:ascii="Arial" w:hAnsi="Arial" w:cs="Arial"/>
                                  <w:sz w:val="22"/>
                                  <w:szCs w:val="22"/>
                                  <w:lang w:val="en-US"/>
                                </w:rPr>
                                <w:t>CapEx</w:t>
                              </w:r>
                              <w:r>
                                <w:rPr>
                                  <w:rFonts w:ascii="Arial" w:hAnsi="Arial" w:cs="Arial"/>
                                  <w:sz w:val="22"/>
                                  <w:szCs w:val="22"/>
                                </w:rPr>
                                <w:t>’ов нефтяными компаниями и падении числа активных буровых установок. На самом деле снижение количества буровых установок, как и капитальных расходов, малозначимо для объема добычи в краткосрочном периоде. Поэтому тот отскок, который мы увидели, – это скорее спекулятивная реакция на новости. С учетом того что объемы добычи если и сократились, то незначительно, условий для долгого и устойчивого ралли в нефти пока не сформировалось. Вероятнее всего, нефть пока стабилизируется около отметки 50–60 долл. за баррель.</w:t>
                              </w:r>
                            </w:p>
                            <w:p w:rsidR="005B0716" w:rsidRDefault="005B0716">
                              <w:pPr>
                                <w:pStyle w:val="a30"/>
                                <w:spacing w:after="120"/>
                              </w:pPr>
                              <w:r>
                                <w:rPr>
                                  <w:rFonts w:ascii="Arial" w:hAnsi="Arial" w:cs="Arial"/>
                                  <w:sz w:val="22"/>
                                  <w:szCs w:val="22"/>
                                </w:rPr>
                                <w:t xml:space="preserve">Промышленные металлы показали небольшой рост. Металлы получили поддержку от новостей из Китая, где были снижены требования к обязательным резервам банками на </w:t>
                              </w:r>
                              <w:r>
                                <w:rPr>
                                  <w:rFonts w:ascii="Arial" w:hAnsi="Arial" w:cs="Arial"/>
                                  <w:sz w:val="22"/>
                                  <w:szCs w:val="22"/>
                                </w:rPr>
                                <w:br/>
                                <w:t xml:space="preserve">50 б.п. В целом это говорит о желании монетарных властей Китая разогнать экономику, что в случае успеха обеспечит рост спроса на промышленные металлы. </w:t>
                              </w:r>
                            </w:p>
                            <w:p w:rsidR="005B0716" w:rsidRDefault="005B0716">
                              <w:pPr>
                                <w:pStyle w:val="a30"/>
                                <w:spacing w:after="120"/>
                              </w:pPr>
                              <w:r>
                                <w:rPr>
                                  <w:rFonts w:ascii="Arial" w:hAnsi="Arial" w:cs="Arial"/>
                                  <w:sz w:val="22"/>
                                  <w:szCs w:val="22"/>
                                </w:rPr>
                                <w:t>Загвоздка в том, что реальный эффект от такого решения Народного банка Китая, скорее всего, будет незначительным, так как проблемы в экономике Китая носят структурный характер (избыток инвестиций), что не лечится цикличными инструментами – монетарной и/или фискальной политикой.</w:t>
                              </w:r>
                            </w:p>
                            <w:p w:rsidR="005B0716" w:rsidRDefault="005B0716" w:rsidP="00111EDA">
                              <w:pPr>
                                <w:pStyle w:val="a50"/>
                                <w:spacing w:after="120"/>
                                <w:jc w:val="both"/>
                              </w:pPr>
                              <w:r>
                                <w:rPr>
                                  <w:b w:val="0"/>
                                  <w:bCs w:val="0"/>
                                  <w:color w:val="auto"/>
                                  <w:sz w:val="22"/>
                                  <w:szCs w:val="22"/>
                                </w:rPr>
                                <w:t>Золото на прошедшей неделе снижалось, основное давление металл получил от статистики по экономике США. Количество рабочих мест, созданных в несельскохозяйственных секторах экономики в январе, составило 267 тыс., а цифра за декабрь была пересмотрена до 320 тыс. В ноябре и вовсе, по последним оценкам, «прибавка» рабочих мест составила рекордные с 1997 года 414 тыс. На этом фоне неожиданный рост безработицы говорит лишь о том, что рынок труда стал пополняться за счет «неактивного населения» – людей, которые ранее бросили поиски работы и перестали учитываться в составе безработных. И это хороший сигнал для экономики, но плохой для золота из-за возросших рисков увеличения ставки ФРС.</w:t>
                              </w:r>
                              <w:r>
                                <w:rPr>
                                  <w:rFonts w:ascii="Calibri" w:hAnsi="Calibri"/>
                                  <w:color w:val="1F497D"/>
                                  <w:sz w:val="22"/>
                                  <w:szCs w:val="22"/>
                                </w:rPr>
                                <w:t> </w:t>
                              </w:r>
                            </w:p>
                          </w:tc>
                          <w:tc>
                            <w:tcPr>
                              <w:tcW w:w="42" w:type="pct"/>
                              <w:vAlign w:val="center"/>
                              <w:hideMark/>
                            </w:tcPr>
                            <w:p w:rsidR="005B0716" w:rsidRDefault="005B0716">
                              <w:r>
                                <w:rPr>
                                  <w:rFonts w:ascii="Arial" w:hAnsi="Arial" w:cs="Arial"/>
                                  <w:sz w:val="26"/>
                                  <w:szCs w:val="26"/>
                                </w:rPr>
                                <w:lastRenderedPageBreak/>
                                <w:t> </w:t>
                              </w:r>
                            </w:p>
                          </w:tc>
                        </w:tr>
                      </w:tbl>
                      <w:p w:rsidR="005B0716" w:rsidRDefault="005B0716">
                        <w:pPr>
                          <w:rPr>
                            <w:rFonts w:eastAsia="Times New Roman"/>
                            <w:sz w:val="20"/>
                            <w:szCs w:val="20"/>
                          </w:rPr>
                        </w:pPr>
                      </w:p>
                    </w:tc>
                    <w:tc>
                      <w:tcPr>
                        <w:tcW w:w="6" w:type="dxa"/>
                        <w:vAlign w:val="center"/>
                        <w:hideMark/>
                      </w:tcPr>
                      <w:p w:rsidR="005B0716" w:rsidRDefault="005B0716">
                        <w:pPr>
                          <w:rPr>
                            <w:rFonts w:eastAsia="Times New Roman"/>
                            <w:sz w:val="20"/>
                            <w:szCs w:val="20"/>
                          </w:rPr>
                        </w:pPr>
                      </w:p>
                    </w:tc>
                  </w:tr>
                </w:tbl>
                <w:p w:rsidR="005B0716" w:rsidRDefault="005B0716">
                  <w:pPr>
                    <w:rPr>
                      <w:sz w:val="24"/>
                      <w:szCs w:val="24"/>
                    </w:rPr>
                  </w:pPr>
                  <w:r>
                    <w:rPr>
                      <w:rFonts w:ascii="Arial" w:hAnsi="Arial" w:cs="Arial"/>
                      <w:noProof/>
                      <w:sz w:val="26"/>
                      <w:szCs w:val="26"/>
                      <w:lang w:eastAsia="ru-RU"/>
                    </w:rPr>
                    <w:lastRenderedPageBreak/>
                    <w:drawing>
                      <wp:inline distT="0" distB="0" distL="0" distR="0">
                        <wp:extent cx="6668135" cy="758825"/>
                        <wp:effectExtent l="0" t="0" r="0" b="3175"/>
                        <wp:docPr id="1" name="Рисунок 1" descr="cid:image004.gif@01CF1B7C.B25E1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id:image004.gif@01CF1B7C.B25E1A8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668135" cy="758825"/>
                                </a:xfrm>
                                <a:prstGeom prst="rect">
                                  <a:avLst/>
                                </a:prstGeom>
                                <a:noFill/>
                                <a:ln>
                                  <a:noFill/>
                                </a:ln>
                              </pic:spPr>
                            </pic:pic>
                          </a:graphicData>
                        </a:graphic>
                      </wp:inline>
                    </w:drawing>
                  </w:r>
                </w:p>
              </w:tc>
            </w:tr>
          </w:tbl>
          <w:p w:rsidR="005B0716" w:rsidRDefault="005B0716">
            <w:pPr>
              <w:rPr>
                <w:rFonts w:eastAsia="Times New Roman"/>
                <w:sz w:val="20"/>
                <w:szCs w:val="20"/>
              </w:rPr>
            </w:pPr>
          </w:p>
        </w:tc>
        <w:tc>
          <w:tcPr>
            <w:tcW w:w="0" w:type="auto"/>
            <w:vAlign w:val="center"/>
            <w:hideMark/>
          </w:tcPr>
          <w:p w:rsidR="005B0716" w:rsidRDefault="005B0716">
            <w:pPr>
              <w:rPr>
                <w:rFonts w:eastAsia="Times New Roman"/>
                <w:sz w:val="20"/>
                <w:szCs w:val="20"/>
              </w:rPr>
            </w:pPr>
          </w:p>
        </w:tc>
      </w:tr>
    </w:tbl>
    <w:p w:rsidR="00D05F5F" w:rsidRPr="00DA68EA" w:rsidRDefault="00D05F5F" w:rsidP="00D05F5F">
      <w:pPr>
        <w:spacing w:before="240" w:line="276" w:lineRule="auto"/>
        <w:jc w:val="both"/>
        <w:rPr>
          <w:rFonts w:ascii="Arial" w:hAnsi="Arial" w:cs="Arial"/>
          <w:sz w:val="23"/>
          <w:szCs w:val="23"/>
        </w:rPr>
      </w:pPr>
    </w:p>
    <w:sectPr w:rsidR="00D05F5F" w:rsidRPr="00DA68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842" w:rsidRDefault="00457842" w:rsidP="00EF2DCA">
      <w:pPr>
        <w:spacing w:after="0" w:line="240" w:lineRule="auto"/>
      </w:pPr>
      <w:r>
        <w:separator/>
      </w:r>
    </w:p>
  </w:endnote>
  <w:endnote w:type="continuationSeparator" w:id="0">
    <w:p w:rsidR="00457842" w:rsidRDefault="00457842" w:rsidP="00EF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842" w:rsidRDefault="00457842" w:rsidP="00EF2DCA">
      <w:pPr>
        <w:spacing w:after="0" w:line="240" w:lineRule="auto"/>
      </w:pPr>
      <w:r>
        <w:separator/>
      </w:r>
    </w:p>
  </w:footnote>
  <w:footnote w:type="continuationSeparator" w:id="0">
    <w:p w:rsidR="00457842" w:rsidRDefault="00457842" w:rsidP="00EF2D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EA"/>
    <w:rsid w:val="00111EDA"/>
    <w:rsid w:val="0015332A"/>
    <w:rsid w:val="003737FA"/>
    <w:rsid w:val="003C56FA"/>
    <w:rsid w:val="00457842"/>
    <w:rsid w:val="005B0716"/>
    <w:rsid w:val="00D05F5F"/>
    <w:rsid w:val="00DA68EA"/>
    <w:rsid w:val="00E12C62"/>
    <w:rsid w:val="00EF2DCA"/>
    <w:rsid w:val="00FB7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84F8F-2ECC-4851-AD30-ED62079D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2DCA"/>
  </w:style>
  <w:style w:type="paragraph" w:styleId="a5">
    <w:name w:val="footer"/>
    <w:basedOn w:val="a"/>
    <w:link w:val="a6"/>
    <w:uiPriority w:val="99"/>
    <w:unhideWhenUsed/>
    <w:rsid w:val="00EF2D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2DCA"/>
  </w:style>
  <w:style w:type="paragraph" w:styleId="a7">
    <w:name w:val="Plain Text"/>
    <w:basedOn w:val="a"/>
    <w:link w:val="a8"/>
    <w:uiPriority w:val="99"/>
    <w:semiHidden/>
    <w:unhideWhenUsed/>
    <w:rsid w:val="00EF2DCA"/>
    <w:pPr>
      <w:spacing w:after="0" w:line="240" w:lineRule="auto"/>
    </w:pPr>
    <w:rPr>
      <w:rFonts w:ascii="Calibri" w:hAnsi="Calibri"/>
      <w:szCs w:val="21"/>
    </w:rPr>
  </w:style>
  <w:style w:type="character" w:customStyle="1" w:styleId="a8">
    <w:name w:val="Текст Знак"/>
    <w:basedOn w:val="a0"/>
    <w:link w:val="a7"/>
    <w:uiPriority w:val="99"/>
    <w:semiHidden/>
    <w:rsid w:val="00EF2DCA"/>
    <w:rPr>
      <w:rFonts w:ascii="Calibri" w:hAnsi="Calibri"/>
      <w:szCs w:val="21"/>
    </w:rPr>
  </w:style>
  <w:style w:type="character" w:styleId="a9">
    <w:name w:val="Hyperlink"/>
    <w:basedOn w:val="a0"/>
    <w:uiPriority w:val="99"/>
    <w:semiHidden/>
    <w:unhideWhenUsed/>
    <w:rsid w:val="005B0716"/>
    <w:rPr>
      <w:color w:val="0000FF"/>
      <w:u w:val="single"/>
    </w:rPr>
  </w:style>
  <w:style w:type="paragraph" w:customStyle="1" w:styleId="a30">
    <w:name w:val="a3"/>
    <w:basedOn w:val="a"/>
    <w:rsid w:val="005B0716"/>
    <w:pPr>
      <w:spacing w:before="80" w:after="0" w:line="240" w:lineRule="auto"/>
      <w:jc w:val="both"/>
    </w:pPr>
    <w:rPr>
      <w:rFonts w:ascii="Arial Narrow" w:hAnsi="Arial Narrow" w:cs="Times New Roman"/>
      <w:sz w:val="16"/>
      <w:szCs w:val="16"/>
      <w:lang w:eastAsia="ru-RU"/>
    </w:rPr>
  </w:style>
  <w:style w:type="paragraph" w:customStyle="1" w:styleId="a50">
    <w:name w:val="a5"/>
    <w:basedOn w:val="a"/>
    <w:rsid w:val="005B0716"/>
    <w:pPr>
      <w:spacing w:after="0" w:line="240" w:lineRule="auto"/>
    </w:pPr>
    <w:rPr>
      <w:rFonts w:ascii="Arial" w:hAnsi="Arial" w:cs="Arial"/>
      <w:b/>
      <w:bCs/>
      <w:color w:val="FF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23333">
      <w:bodyDiv w:val="1"/>
      <w:marLeft w:val="0"/>
      <w:marRight w:val="0"/>
      <w:marTop w:val="0"/>
      <w:marBottom w:val="0"/>
      <w:divBdr>
        <w:top w:val="none" w:sz="0" w:space="0" w:color="auto"/>
        <w:left w:val="none" w:sz="0" w:space="0" w:color="auto"/>
        <w:bottom w:val="none" w:sz="0" w:space="0" w:color="auto"/>
        <w:right w:val="none" w:sz="0" w:space="0" w:color="auto"/>
      </w:divBdr>
    </w:div>
    <w:div w:id="201465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4.jpg@01D0448C.2E9807D0" TargetMode="External"/><Relationship Id="rId3" Type="http://schemas.openxmlformats.org/officeDocument/2006/relationships/webSettings" Target="webSettings.xml"/><Relationship Id="rId7" Type="http://schemas.openxmlformats.org/officeDocument/2006/relationships/image" Target="cid:image001.jpg@01D0448C.2E9807D0"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image003.jpg@01D0448C.2E9807D0" TargetMode="External"/><Relationship Id="rId5" Type="http://schemas.openxmlformats.org/officeDocument/2006/relationships/endnotes" Target="endnotes.xml"/><Relationship Id="rId15" Type="http://schemas.openxmlformats.org/officeDocument/2006/relationships/image" Target="cid:image005.gif@01D0448C.2E9807D0" TargetMode="Externa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cid:image002.jpg@01D0448C.2E9807D0" TargetMode="External"/><Relationship Id="rId14" Type="http://schemas.openxmlformats.org/officeDocument/2006/relationships/image" Target="media/image5.gif"/></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Натуральные материалы">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Натуральные материалы">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Натуральные материалы">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ЗАО Финам</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akolesnikova</dc:creator>
  <cp:keywords/>
  <dc:description/>
  <cp:lastModifiedBy>akolesnikova</cp:lastModifiedBy>
  <cp:revision>3</cp:revision>
  <dcterms:created xsi:type="dcterms:W3CDTF">2015-02-09T14:31:00Z</dcterms:created>
  <dcterms:modified xsi:type="dcterms:W3CDTF">2015-02-09T14:32:00Z</dcterms:modified>
</cp:coreProperties>
</file>