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27" w:rsidRPr="009B7C2B" w:rsidRDefault="00D96C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Апрель начался с коррекции на мировых финансовых рынках – по итогам недели S&amp;P 500 снизился на 1%, европейский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Stoxx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600 потерял 2,3%, цены на нефть (WTI)  упали на 4,7%. Поводами для сокращения спроса на рисковые активы стали слабый отчет по рынку труда США (в марте прирост рабочих мест оказался более чем вдвое ниже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консенсус-прогноза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>), прогноз главы ЕЦБ М. Драги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о рисках для восстановления экономики еврозоны во 2П13, угрозы северокорейского руководства по применению ядерного оружия в отношении Южной Кореи и США. Капиталы вновь ищут «убежища», на что указывает снижение доходностей американских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гособлигаций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. На этом фоне стоимость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бивалютной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корзины к рублю повысилась до максимальных значений с прошлой осени, а российский рынок акций продолжил движение вниз – за неделю индекс ММВБ потерял 1,5%, обновив минимум с начала декабря. Долларовый индекс РТС потерял больше – 3,4% (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бенчмарк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развивающихся рынков MSCI EM снизился на 2,6%). Зарубежные институциональные инвесторы продолжают выводить деньги из российских акций – на прошлой неделе, по данным EPFR, отток составил $68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, а с начала года – уже $789 млн.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Среди лидеров снижения прошлой недели – вновь акции металлургических, горнодобывающих, электроэнергетических компаний.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Акции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Распадской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рухнули на 15% – финансовые результаты 2012 г. оказались хуже рыночных прогнозов,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Мечел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упал на 10%, акции Северстали, ММК, НЛМК потеряли более 6%. На этот раз под давлением оказались и акции сотовых операторов из-за покупки ВТБ Tele2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– рынок предполагает, что этот бизнес в конечном итоге может получить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либо непосредственно, либо через СП с ВТБ, что усилит конкурентное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давление на тройку крупнейших сотовых компаний. На этом фоне акции МТС подешевели за неделю на 5,5%, акции Мегафона – более чем на 12%. Среди немногих выросших на прошлой неделе акций  –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Сургутнефтегаз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(+7,3%) – инвесторы ждут публикации в апреле первой отчетности компании по МСФО и проведения Дня инвестора,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Фосагро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(+8,5%) – совет директоров компании в пятницу рекомендовал выплатить дивиденды в размере 2,48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в дополнение к уже выплаченным промежуточным дивидендам.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>Главной новостью в пятницу стал отчет по рынку труда США (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non-farm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payrolls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), ожидания по которому стали ухудшаться после вышедших в среду слабых данных ADP.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Однако результат оказался шокирующим – прирост рабочих мест в марте составил всего 88 тыс. (минимальное значение за последние 9 мес.) против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консенсус-прогноза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в 190 тыс. и пересмотренных данных за февраль на уровне 268 тыс. Возможно, это связано с реакцией бизнеса на секвестр бюджетных расходов, запущенный с начала марта.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Снижение безработицы с 7,7% до 7,6% не является показателем улучшения ситуации с занятостью, поскольку достигнуто за счет статистического эффекта (сокращения численности рабочей силы). Данные оказали заметное давление на мировые финансовые рынки, однако вряд ли оно окажется продолжительным – приостановка сильной динамики рынка труда – явный сигнал, что ФРС рано сворачивать QE. Кстати, на прошлой неделе Банк Японии объявил о рекордном увеличении объемов количественного смягчения для борьбы с дефляцией – объем ежемесячных покупок облигаций увеличится до $77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, а денежная база в течение 2-х лет должна вырасти почти вдвое.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В пятницу российский рынок акций снизился на 0,7% по индексу ММВБ  и на 0,6% по </w:t>
      </w:r>
      <w:r w:rsidRPr="009B7C2B">
        <w:rPr>
          <w:rFonts w:ascii="Times New Roman" w:hAnsi="Times New Roman" w:cs="Times New Roman"/>
          <w:sz w:val="24"/>
          <w:szCs w:val="24"/>
        </w:rPr>
        <w:lastRenderedPageBreak/>
        <w:t xml:space="preserve">индексу РТС. Снижение рынка началось в первой половине дня и усилилось после выхода статистики по рынку труда США. В лидерах снижения – МТС (-3,3%), Роснефть (-2,6%), во втором эшелоне –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Распадская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(-3%), банк «Возрождение» (-3,9%), ФСК ЕЭС (-4,3%). Из основных локальных событий дня можно отметить результаты Сбербанка за 1Q13 (РСБУ) – рост чистой прибыли замедлился до нуля, однако динамика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доналоговой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прибыли положительная (+9,5%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YoY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), явная тенденция – сокращение корпоративного кредитования и замедление роста розничного.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Американские фондовые индексы, открывшись резким падением,  к концу торгов отыграли часть потерь, и по итогам снижение составило 0,3-0,7%. На европейских рынках, где торги завершились раньше, падение индексов было достаточно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замет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>?ы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– 1,4-2%. Нефтяные фьючерсы (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>) потеряли 1,8% и торгуются сейчас ниже $105/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барр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. Помимо экономических данных, влияние на нефть оказывали переговоры шестерки международных посредников с Ираном по программе обогащения урана – как было объявлено в субботу по их завершении, «прорыва добиться не удалось».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В субботу кабинет министров Италии одобрил декрет о выплате государством части задолженности перед частным сектором в размере 40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евро в течение 12 месяцев. По мнению М.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Монти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, эта мера поможет хотя бы немного облегчить ситуацию в экономике, страдающей от рецессии и жестких мер по сокращению бюджетного дефицита. В Португалии конституционный суд признал незаконными некоторые меры бюджетной экономии (сокращение зарплат госслужащих, пенсий, пособий по безработице), что может потребовать от правительства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>поиска других способов сокращения дефицита бюджета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2013 г. до целевых 5,5%, обусловленных соглашением с международными кредиторами. Объем не признаваемых судом сокращений расходов может составить до 1,3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евро. Между тем, страна сейчас пытается получить согласие «тройки» кредиторов на продление сроков предоставленных кредитов (общий объем помощи составляет 78 </w:t>
      </w:r>
      <w:proofErr w:type="spellStart"/>
      <w:proofErr w:type="gramStart"/>
      <w:r w:rsidRPr="009B7C2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евро), официальное решение должно быть принято на этой неделе, и вердикт конституционного суда может осложнить ситуацию. Премьер-министр уже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>выразил несогласие с решением суда и будет обсуждать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ситуацию с президентом страны в ближайшее время.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Сегодня утром на азиатских фондовых площадках отмечается разнонаправленное движение,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Nikkei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прибавляет более 2% на фоне ослабления иены после объявленного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BoJ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на прошлой неделе рекордного расширения объема выкупа облигаций, однако китайские и корейские фондовые индикаторы умеренно снижаются. Цены на нефть умеренно корректируются вверх после безуспешно завершившихся переговоров международных посредников с Ираном. Американский фьючерс S&amp;P торгуется в слабо позитивной зоне. На этом фоне мы ожидаем  открытия российских торгов в небольшом плюсе. Основное события дня произойдет уже после завершения российских торгов - выступление главы ФРС Б.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Бернанке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на конференции в Атланте (рынок ожидает его реакцию на слабый отчет о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payrolls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и оценку необходимости продолжения QE3). Сегодня же должен быть объявлен точный размер «стрижки» депозитов в кипрских банках. Из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макростатистики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сегодня выйдут данные о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промпроизводстве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в Германии. В России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Татнефть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, Полиметалл и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Соллерс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опубликуют финансовые результаты 2012 г. (МСФО). Сегодня стартует сезон корпоративной отчетности в США (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Alcoa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), и отчеты, скорее всего, будут в ближайшие 2-3 недели формировать основной новостной фон для рынков. </w:t>
      </w:r>
      <w:r w:rsidRPr="009B7C2B">
        <w:rPr>
          <w:rFonts w:ascii="Times New Roman" w:hAnsi="Times New Roman" w:cs="Times New Roman"/>
          <w:sz w:val="24"/>
          <w:szCs w:val="24"/>
        </w:rPr>
        <w:br/>
      </w:r>
      <w:r w:rsidRPr="009B7C2B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Консенсус-прогноз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Bloomberg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по итогам 1Q предполагает снижение прибылей компаний из S&amp;P 500 в среднем на 1,8%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YoY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– это может стать первым кварталом снижения прибыли с 2009 г. С учетом того факта, что индексы DJIA и S&amp;P 500 находятся вблизи исторических максимумов, слабые корпоративные отчеты могут стать поводом для продолжения коррекции, начавшейся на прошлой неделе.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С другой стороны, если фактические данные и прогнозы компаний окажутся лучше уже сформировавшихся пессимистичных ожиданий рынка, рост может и продолжиться. Впрочем, на этой неделе из крупнейших корпораций и банков, помимо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Alcoa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, отчитается только JP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Morgan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(12 апреля), остальные начнут публиковать отчеты со следующей недели.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Из ожидаемых событий наступившей недели: 10 апреля президент США Б.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Обама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представит проект федерального бюджета на 2014 финансовый год, который, вероятно, вновь вызовет бурные дебаты в Конгрессе. 12-13 апреля пройдет встреча министров финансов ЕС в Дублине – там должно быть принято решение о продлении сроков кредитов для Ирландии и Португалии, а также, скорее всего, будет обсуждаться антикризисный план для Кипра.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Ключевые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макроотчеты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на этой неделе – США: оптовые запасы (9 апреля), протокол последнего заседания ФРС (10 апреля), розничные продажи, PPI, индекс потребительского доверия от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Мичиганского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университета (12 апреля).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 xml:space="preserve">Европа: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промпроизводство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в Великобритании (9 апреля), в Италии, Франции (10 апреля), в еврозоне (12 апреля).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 xml:space="preserve"> Китай: инфляция, объем нового кредитования, денежная масса (9 апреля), торговый </w:t>
      </w:r>
      <w:proofErr w:type="gramStart"/>
      <w:r w:rsidRPr="009B7C2B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B7C2B">
        <w:rPr>
          <w:rFonts w:ascii="Times New Roman" w:hAnsi="Times New Roman" w:cs="Times New Roman"/>
          <w:sz w:val="24"/>
          <w:szCs w:val="24"/>
        </w:rPr>
        <w:t>ланс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(10 апреля). Япония: машиностроительные заказы (11 апреля).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Корпоративные события в России – операционные результаты 1Q опубликуют крупнейшие российские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ритейлеры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: Магнит (10 апреля),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О’кей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(11 апреля), X5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(12 апреля). Финансовые результаты за 2012 г. (МСФО) опубликуют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Уралкалий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(10 апреля),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Evraz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(11 апреля),  Закрываются реестры компаний для участия в годовых собраниях акционеров и получения дивидендов – Сбербанк, </w:t>
      </w:r>
      <w:proofErr w:type="spellStart"/>
      <w:r w:rsidRPr="009B7C2B">
        <w:rPr>
          <w:rFonts w:ascii="Times New Roman" w:hAnsi="Times New Roman" w:cs="Times New Roman"/>
          <w:sz w:val="24"/>
          <w:szCs w:val="24"/>
        </w:rPr>
        <w:t>Акрон</w:t>
      </w:r>
      <w:proofErr w:type="spellEnd"/>
      <w:r w:rsidRPr="009B7C2B">
        <w:rPr>
          <w:rFonts w:ascii="Times New Roman" w:hAnsi="Times New Roman" w:cs="Times New Roman"/>
          <w:sz w:val="24"/>
          <w:szCs w:val="24"/>
        </w:rPr>
        <w:t xml:space="preserve"> (11 апреля).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Вероятность дальнейшего снижения рынка пока сохраняется. Основной фактор риска – возможная коррекция на внешних рынках, которую могут спровоцировать новые негативные сигналы из Европы и слабые корпоративные отчеты в США. В то же время, если отчетность крупнейших американских компаний и банков окажется лучше ожиданий, а ФРС подтвердит курс на продолжение стимулирующих мер в условиях неуверенной ситуации на рынке труда, рынок сможет в ближайшие недели получить поддержку и, возможно, развернуться наверх.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B7C2B">
        <w:rPr>
          <w:rFonts w:ascii="Times New Roman" w:hAnsi="Times New Roman" w:cs="Times New Roman"/>
          <w:sz w:val="24"/>
          <w:szCs w:val="24"/>
        </w:rPr>
        <w:br/>
      </w:r>
      <w:r w:rsidRPr="009B7C2B">
        <w:rPr>
          <w:rFonts w:ascii="Times New Roman" w:hAnsi="Times New Roman" w:cs="Times New Roman"/>
          <w:i/>
          <w:sz w:val="24"/>
          <w:szCs w:val="24"/>
        </w:rPr>
        <w:t>Ольга Беленькая,</w:t>
      </w:r>
      <w:r w:rsidR="009B7C2B" w:rsidRPr="009B7C2B">
        <w:rPr>
          <w:rFonts w:ascii="Times New Roman" w:hAnsi="Times New Roman" w:cs="Times New Roman"/>
          <w:i/>
          <w:sz w:val="24"/>
          <w:szCs w:val="24"/>
        </w:rPr>
        <w:t xml:space="preserve"> заместитель </w:t>
      </w:r>
      <w:r w:rsidRPr="009B7C2B">
        <w:rPr>
          <w:rFonts w:ascii="Times New Roman" w:hAnsi="Times New Roman" w:cs="Times New Roman"/>
          <w:i/>
          <w:sz w:val="24"/>
          <w:szCs w:val="24"/>
        </w:rPr>
        <w:t>руководителя аналитического департамента</w:t>
      </w:r>
      <w:r w:rsidR="009B7C2B" w:rsidRPr="009B7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C2B">
        <w:rPr>
          <w:rFonts w:ascii="Times New Roman" w:hAnsi="Times New Roman" w:cs="Times New Roman"/>
          <w:i/>
          <w:sz w:val="24"/>
          <w:szCs w:val="24"/>
        </w:rPr>
        <w:t>ООО "СОВЛИНК"</w:t>
      </w:r>
      <w:proofErr w:type="gramStart"/>
      <w:r w:rsidRPr="009B7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C2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B7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C2B">
        <w:rPr>
          <w:rFonts w:ascii="Times New Roman" w:hAnsi="Times New Roman" w:cs="Times New Roman"/>
          <w:sz w:val="24"/>
          <w:szCs w:val="24"/>
        </w:rPr>
        <w:br/>
      </w:r>
    </w:p>
    <w:sectPr w:rsidR="009E3E27" w:rsidRPr="009B7C2B" w:rsidSect="009E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C6C"/>
    <w:rsid w:val="004B7C0E"/>
    <w:rsid w:val="009B7C2B"/>
    <w:rsid w:val="009E3E27"/>
    <w:rsid w:val="00D9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1391</Words>
  <Characters>7929</Characters>
  <Application>Microsoft Office Word</Application>
  <DocSecurity>0</DocSecurity>
  <Lines>66</Lines>
  <Paragraphs>18</Paragraphs>
  <ScaleCrop>false</ScaleCrop>
  <Company>Finam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2013-04-08T06:12:00Z</dcterms:created>
  <dcterms:modified xsi:type="dcterms:W3CDTF">2013-04-08T06:22:00Z</dcterms:modified>
</cp:coreProperties>
</file>