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0" w:rsidRDefault="003F7270" w:rsidP="003F7270">
      <w:pPr>
        <w:pStyle w:val="2"/>
        <w:spacing w:before="200" w:beforeAutospacing="0" w:after="0" w:afterAutospacing="0"/>
        <w:jc w:val="both"/>
        <w:rPr>
          <w:rFonts w:eastAsiaTheme="minorHAnsi"/>
        </w:rPr>
      </w:pPr>
      <w:r>
        <w:rPr>
          <w:rFonts w:ascii="Cambria" w:eastAsiaTheme="minorHAnsi" w:hAnsi="Cambria"/>
          <w:color w:val="4F81BD"/>
          <w:sz w:val="27"/>
          <w:szCs w:val="27"/>
        </w:rPr>
        <w:t xml:space="preserve">Рост не </w:t>
      </w:r>
      <w:proofErr w:type="gramStart"/>
      <w:r>
        <w:rPr>
          <w:rFonts w:ascii="Cambria" w:eastAsiaTheme="minorHAnsi" w:hAnsi="Cambria"/>
          <w:color w:val="4F81BD"/>
          <w:sz w:val="27"/>
          <w:szCs w:val="27"/>
        </w:rPr>
        <w:t>благодаря</w:t>
      </w:r>
      <w:proofErr w:type="gramEnd"/>
      <w:r>
        <w:rPr>
          <w:rFonts w:ascii="Cambria" w:eastAsiaTheme="minorHAnsi" w:hAnsi="Cambria"/>
          <w:color w:val="4F81BD"/>
          <w:sz w:val="27"/>
          <w:szCs w:val="27"/>
        </w:rPr>
        <w:t>, а вопреки</w:t>
      </w:r>
    </w:p>
    <w:p w:rsidR="003F7270" w:rsidRDefault="003F7270" w:rsidP="003F7270">
      <w:pPr>
        <w:spacing w:after="200"/>
        <w:jc w:val="both"/>
      </w:pPr>
      <w:r>
        <w:rPr>
          <w:rFonts w:ascii="Calibri" w:hAnsi="Calibri"/>
        </w:rPr>
        <w:t xml:space="preserve">Прошедшая пятница послужила водоразделом между периодом безмятежности и периодом возобновления страхов у глобальных инвесторов. После воодушевляющего отчёта  </w:t>
      </w:r>
      <w:r>
        <w:rPr>
          <w:rFonts w:ascii="Calibri" w:hAnsi="Calibri"/>
          <w:lang w:val="en-US"/>
        </w:rPr>
        <w:t>ADP</w:t>
      </w:r>
      <w:r>
        <w:rPr>
          <w:rFonts w:ascii="Calibri" w:hAnsi="Calibri"/>
        </w:rPr>
        <w:t xml:space="preserve">, опубликованного в середине прошлой недели, игроки как-то внезапно и всецело поверили в наступление разворотных тенденций в американской экономике, и пятничные данные о рынке труда США стали настоящим ударом молота по наковальне. Во-первых, ключевой показатель </w:t>
      </w:r>
      <w:r>
        <w:rPr>
          <w:rFonts w:ascii="Calibri" w:hAnsi="Calibri"/>
          <w:lang w:val="en-US"/>
        </w:rPr>
        <w:t>nonfarm</w:t>
      </w:r>
      <w:r w:rsidRPr="003F7270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payrolls</w:t>
      </w:r>
      <w:r>
        <w:rPr>
          <w:rFonts w:ascii="Calibri" w:hAnsi="Calibri"/>
        </w:rPr>
        <w:t xml:space="preserve"> (рабочие места в несельскохозяйственных секторах экономики США), о важности которого для настроений на фондовых ранках мы упоминали в нашем предыдущем утреннем обзоре, не просто разочаровал, но привёл к ожесточённым спорам экономистов и портфельных управляющих относительно истинного положения вещей на рынке труда. Цифра попала, что называется, «не в бровь, а в глаз». Согласно отчёту, число новых рабочих мест в данных секторах составило в ноябре всего 39 тыс. вместо 140 тыс. – 155 тыс., отражённых в </w:t>
      </w:r>
      <w:proofErr w:type="spellStart"/>
      <w:proofErr w:type="gramStart"/>
      <w:r>
        <w:rPr>
          <w:rFonts w:ascii="Calibri" w:hAnsi="Calibri"/>
        </w:rPr>
        <w:t>консенсус-прогнозах</w:t>
      </w:r>
      <w:proofErr w:type="spellEnd"/>
      <w:proofErr w:type="gramEnd"/>
      <w:r>
        <w:rPr>
          <w:rFonts w:ascii="Calibri" w:hAnsi="Calibri"/>
        </w:rPr>
        <w:t xml:space="preserve"> ведущих североамериканских деловых изданий. Таким образом, надежда на то, что количество вновь создаваемых вакансий опережает число новых заявок на пособия по безработице в США, которая подогревала надежды рынков на рост, не просто не оправдалась, но была разбита в пух и прах. Дополнительным «ударом </w:t>
      </w:r>
      <w:proofErr w:type="spellStart"/>
      <w:r>
        <w:rPr>
          <w:rFonts w:ascii="Calibri" w:hAnsi="Calibri"/>
        </w:rPr>
        <w:t>поддых</w:t>
      </w:r>
      <w:proofErr w:type="spellEnd"/>
      <w:r>
        <w:rPr>
          <w:rFonts w:ascii="Calibri" w:hAnsi="Calibri"/>
        </w:rPr>
        <w:t xml:space="preserve">» стало неожиданное повышение уровня безработицы в США в ноябре до 9.8% по сравнению с 9.6% месяцем ранее, что, впрочем, выглядит весьма </w:t>
      </w:r>
      <w:proofErr w:type="gramStart"/>
      <w:r>
        <w:rPr>
          <w:rFonts w:ascii="Calibri" w:hAnsi="Calibri"/>
        </w:rPr>
        <w:t>логичным продолжением</w:t>
      </w:r>
      <w:proofErr w:type="gramEnd"/>
      <w:r>
        <w:rPr>
          <w:rFonts w:ascii="Calibri" w:hAnsi="Calibri"/>
        </w:rPr>
        <w:t xml:space="preserve"> предыдущей новости.</w:t>
      </w:r>
    </w:p>
    <w:p w:rsidR="003F7270" w:rsidRDefault="003F7270" w:rsidP="003F7270">
      <w:pPr>
        <w:spacing w:after="200"/>
        <w:jc w:val="both"/>
      </w:pPr>
      <w:r>
        <w:rPr>
          <w:rFonts w:ascii="Calibri" w:hAnsi="Calibri"/>
        </w:rPr>
        <w:t xml:space="preserve">При всей недвусмысленности пятничных данных, рынки не стоят на месте, и с нетерпением ждут реакции на выступление главы ФРС Бена </w:t>
      </w:r>
      <w:proofErr w:type="spellStart"/>
      <w:r>
        <w:rPr>
          <w:rFonts w:ascii="Calibri" w:hAnsi="Calibri"/>
        </w:rPr>
        <w:t>Бернанке</w:t>
      </w:r>
      <w:proofErr w:type="spellEnd"/>
      <w:r>
        <w:rPr>
          <w:rFonts w:ascii="Calibri" w:hAnsi="Calibri"/>
        </w:rPr>
        <w:t xml:space="preserve">, которое </w:t>
      </w:r>
      <w:proofErr w:type="gramStart"/>
      <w:r>
        <w:rPr>
          <w:rFonts w:ascii="Calibri" w:hAnsi="Calibri"/>
        </w:rPr>
        <w:t xml:space="preserve">транслировалось воскресным вечером по деловому телеканалу </w:t>
      </w:r>
      <w:r>
        <w:rPr>
          <w:rFonts w:ascii="Calibri" w:hAnsi="Calibri"/>
          <w:lang w:val="en-US"/>
        </w:rPr>
        <w:t>CBS</w:t>
      </w:r>
      <w:r w:rsidRPr="003F7270">
        <w:rPr>
          <w:rFonts w:ascii="Calibri" w:hAnsi="Calibri"/>
        </w:rPr>
        <w:t xml:space="preserve"> </w:t>
      </w:r>
      <w:r>
        <w:rPr>
          <w:rFonts w:ascii="Calibri" w:hAnsi="Calibri"/>
        </w:rPr>
        <w:t>и было</w:t>
      </w:r>
      <w:proofErr w:type="gramEnd"/>
      <w:r>
        <w:rPr>
          <w:rFonts w:ascii="Calibri" w:hAnsi="Calibri"/>
        </w:rPr>
        <w:t xml:space="preserve"> акцентировано на обосновании неизбежности и благотворности недавно объявленной $600-миллиардной дополнительной программы выкупа казначейских облигаций и векселей. В последнее время представители ФРБ США тратят немало усилий и красноречия для того, чтобы хотя бы немного сбить накал страстей и негодования, вызванный его противоречивыми фискальными действиями. Если на этот раз </w:t>
      </w:r>
      <w:proofErr w:type="spellStart"/>
      <w:r>
        <w:rPr>
          <w:rFonts w:ascii="Calibri" w:hAnsi="Calibri"/>
        </w:rPr>
        <w:t>Бернанке</w:t>
      </w:r>
      <w:proofErr w:type="spellEnd"/>
      <w:r>
        <w:rPr>
          <w:rFonts w:ascii="Calibri" w:hAnsi="Calibri"/>
        </w:rPr>
        <w:t xml:space="preserve"> удастся хотя бы чуть-чуть развернуть настроения рынков в свою пользу, это снизит давление на долговой рынок и позволит доллару немного укрепиться. В противном случае нас ждёт новый всплеск покупок в биржевом сырье на фоне укрепления курсов валют развивающихся рынков и нового падения рынков долговых.</w:t>
      </w:r>
    </w:p>
    <w:p w:rsidR="003F7270" w:rsidRDefault="003F7270" w:rsidP="003F7270">
      <w:pPr>
        <w:spacing w:after="200"/>
        <w:jc w:val="both"/>
      </w:pPr>
      <w:r>
        <w:rPr>
          <w:rFonts w:ascii="Calibri" w:hAnsi="Calibri"/>
        </w:rPr>
        <w:t xml:space="preserve">К слову, Китай продолжает создавать мощные предпосылки для такого сценария. В частности, в пятницу с большой новостной помпой некоторыми китайскими СМИ цитировались слова председателя Шанхайской золотой биржи </w:t>
      </w:r>
      <w:proofErr w:type="spellStart"/>
      <w:r>
        <w:rPr>
          <w:rFonts w:ascii="Calibri" w:hAnsi="Calibri"/>
        </w:rPr>
        <w:t>Шень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Сян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Жуна</w:t>
      </w:r>
      <w:proofErr w:type="spellEnd"/>
      <w:r>
        <w:rPr>
          <w:rFonts w:ascii="Calibri" w:hAnsi="Calibri"/>
        </w:rPr>
        <w:t>, что за 10 месяцев 2010 года Поднебесная увеличила объемы импорта золота в 6 раз в сравнении с аналогичным периодом прошлого года. Согласно этим данным, всего с января по октябрь в КНР было ввезено 210 тонн золота.</w:t>
      </w:r>
    </w:p>
    <w:p w:rsidR="003F7270" w:rsidRDefault="003F7270" w:rsidP="003F7270">
      <w:pPr>
        <w:spacing w:after="200"/>
        <w:jc w:val="both"/>
      </w:pPr>
      <w:r>
        <w:rPr>
          <w:rFonts w:ascii="Calibri" w:hAnsi="Calibri"/>
        </w:rPr>
        <w:t xml:space="preserve">Провальные данные по занятости в США были отыграны рынком </w:t>
      </w:r>
      <w:proofErr w:type="gramStart"/>
      <w:r>
        <w:rPr>
          <w:rFonts w:ascii="Calibri" w:hAnsi="Calibri"/>
        </w:rPr>
        <w:t>весьма своеобразно</w:t>
      </w:r>
      <w:proofErr w:type="gramEnd"/>
      <w:r>
        <w:rPr>
          <w:rFonts w:ascii="Calibri" w:hAnsi="Calibri"/>
        </w:rPr>
        <w:t xml:space="preserve">: в последний день недели европейская валюта неожиданно подскочила выше уровня 1.34 доллара США впервые с момента объявления о долговых проблемах Ирландии, так как инвесторы решили, что плохие американские статданные – знак слабости доллара. Поскольку в последнее время рост фондовых индексов тесно связан с положительной динамикой единой европейской валюты, то разворот первых не заставил себя долго ждать. По итогам исключительно </w:t>
      </w:r>
      <w:proofErr w:type="spellStart"/>
      <w:r>
        <w:rPr>
          <w:rFonts w:ascii="Calibri" w:hAnsi="Calibri"/>
        </w:rPr>
        <w:t>волатильной</w:t>
      </w:r>
      <w:proofErr w:type="spellEnd"/>
      <w:r>
        <w:rPr>
          <w:rFonts w:ascii="Calibri" w:hAnsi="Calibri"/>
        </w:rPr>
        <w:t xml:space="preserve">  торговой сессии в пятницу фондовые </w:t>
      </w:r>
      <w:r>
        <w:rPr>
          <w:rFonts w:ascii="Calibri" w:hAnsi="Calibri"/>
        </w:rPr>
        <w:lastRenderedPageBreak/>
        <w:t xml:space="preserve">индексы в США закрылись с едва заметными прибавками: </w:t>
      </w:r>
      <w:proofErr w:type="spellStart"/>
      <w:r>
        <w:rPr>
          <w:rFonts w:ascii="Calibri" w:hAnsi="Calibri"/>
        </w:rPr>
        <w:t>Dow</w:t>
      </w:r>
      <w:proofErr w:type="spellEnd"/>
      <w:r>
        <w:rPr>
          <w:rFonts w:ascii="Calibri" w:hAnsi="Calibri"/>
        </w:rPr>
        <w:t xml:space="preserve"> подрос на 0.17% до 11,382, </w:t>
      </w:r>
      <w:proofErr w:type="spellStart"/>
      <w:r>
        <w:rPr>
          <w:rFonts w:ascii="Calibri" w:hAnsi="Calibri"/>
          <w:lang w:val="en-US"/>
        </w:rPr>
        <w:t>Nasdaq</w:t>
      </w:r>
      <w:proofErr w:type="spellEnd"/>
      <w:r>
        <w:rPr>
          <w:rFonts w:ascii="Calibri" w:hAnsi="Calibri"/>
        </w:rPr>
        <w:t xml:space="preserve"> продвинулся на 0.47% до 2,591, а S&amp;P 500 отполз вверх на 0.26% до отметки 1,225.</w:t>
      </w:r>
    </w:p>
    <w:p w:rsidR="003F7270" w:rsidRDefault="003F7270" w:rsidP="003F7270">
      <w:pPr>
        <w:spacing w:after="200"/>
      </w:pPr>
      <w:proofErr w:type="gramStart"/>
      <w:r>
        <w:rPr>
          <w:rFonts w:ascii="Calibri" w:hAnsi="Calibri"/>
        </w:rPr>
        <w:t>. . .</w:t>
      </w:r>
      <w:proofErr w:type="gramEnd"/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В пятницу торги на российском фондовом рынке открылись разнонаправленной динамикой бумаг (индекс ММВБ прибавил символические 0.01%, индекс РТС продвинулся на 0.11%) ввиду смешанного внешнего фона: накануне индексы в США накануне выросли на хороших статданных, в пятницу подъем также наблюдался на большинстве азиатских площадок, кроме Китая, где правительство приняло решение об ужесточении монетарной политики в стране с начала следующего года для</w:t>
      </w:r>
      <w:proofErr w:type="gramEnd"/>
      <w:r>
        <w:rPr>
          <w:rFonts w:ascii="Calibri" w:hAnsi="Calibri" w:cs="Arial"/>
        </w:rPr>
        <w:t xml:space="preserve"> борьбы с инфляционным давлением, кроме того немного снижались американские фондовые фьючерсы. Сила «медведей» поначалу была все-таки больше, поэтому в первой половине дня на российской фондовом рынке наблюдалась коррекционное снижение вслед за европейскими площадками и ценами на нефть в рамках фиксации прибыли игроками после существенного роста. Вторая половина торгов сопровождалась повышенной </w:t>
      </w:r>
      <w:proofErr w:type="spellStart"/>
      <w:r>
        <w:rPr>
          <w:rFonts w:ascii="Calibri" w:hAnsi="Calibri" w:cs="Arial"/>
        </w:rPr>
        <w:t>волатильностью</w:t>
      </w:r>
      <w:proofErr w:type="spellEnd"/>
      <w:r>
        <w:rPr>
          <w:rFonts w:ascii="Calibri" w:hAnsi="Calibri" w:cs="Arial"/>
        </w:rPr>
        <w:t xml:space="preserve"> - после обеда российские индексы снова стали подрастать в ожидании данных по рынку труда США, которые оказались разочаровывающими, что спровоцировало волну продаж, которая, однако, широкого распространения не получила, и фондовые площадки стали постепенно восстанавливать утраченные позиции. В результате российский рынок акций завершил неделю подъемом к годовым максимумам по ведущим индексам на фоне общемирового оптимизма и высоких цен на нефть - по итогам торгов индекс ММВБ повысился на 1.05% до 1649.56 пункта, индекс РТС поднялся на 1.30% до отметки 1687.36 пункта.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После небольшого снижения в начале дня подъем нефтяных цен в пятницу продолжился - поддержку нефтяному рынку оказали появившиеся ранее на этой неделе довольно сильные статданные из США, Китая и Европы, которые уверили инвесторов в хороших перспективах мировой экономики. В результате по итогам торгов стоимость фьючерсных контрактов на нефть марки WTI увеличилась на 1.35% — до уровня в $89.19 за баррель.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Благодаря позитивной динамике нефтяного рынка акции российских нефтегазовых компаний чувствовали себя комфортно и завершили торги в уверенном «плюсе»: Газпром (+0.79%), ЛУКОЙЛ (+0.78%), Роснефть (+0.36%), </w:t>
      </w:r>
      <w:proofErr w:type="spellStart"/>
      <w:r>
        <w:rPr>
          <w:rFonts w:ascii="Calibri" w:hAnsi="Calibri" w:cs="Arial"/>
        </w:rPr>
        <w:t>Новатэк</w:t>
      </w:r>
      <w:proofErr w:type="spellEnd"/>
      <w:r>
        <w:rPr>
          <w:rFonts w:ascii="Calibri" w:hAnsi="Calibri" w:cs="Arial"/>
        </w:rPr>
        <w:t xml:space="preserve"> (+4.76%), </w:t>
      </w:r>
      <w:proofErr w:type="spellStart"/>
      <w:r>
        <w:rPr>
          <w:rFonts w:ascii="Calibri" w:hAnsi="Calibri" w:cs="Arial"/>
        </w:rPr>
        <w:t>Сургутнефтегаз</w:t>
      </w:r>
      <w:proofErr w:type="spellEnd"/>
      <w:r>
        <w:rPr>
          <w:rFonts w:ascii="Calibri" w:hAnsi="Calibri" w:cs="Arial"/>
        </w:rPr>
        <w:t xml:space="preserve"> (+0.36%), Газпром нефть (+1.52%). 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Акции российских банков были обделены вниманием инвесторов и закрылись в отрицательной области: Сбербанк (-0.59%), ВТБ (-0.88%). Давление на акции ВТБ оказала новость о том, что ВТБ может заплатить за приобретение 100% </w:t>
      </w:r>
      <w:proofErr w:type="spellStart"/>
      <w:r>
        <w:rPr>
          <w:rFonts w:ascii="Calibri" w:hAnsi="Calibri" w:cs="Arial"/>
        </w:rPr>
        <w:t>Транскредитбанка</w:t>
      </w:r>
      <w:proofErr w:type="spellEnd"/>
      <w:r>
        <w:rPr>
          <w:rFonts w:ascii="Calibri" w:hAnsi="Calibri" w:cs="Arial"/>
        </w:rPr>
        <w:t xml:space="preserve"> (ТКБ) порядка 54.3 </w:t>
      </w:r>
      <w:proofErr w:type="spellStart"/>
      <w:proofErr w:type="gramStart"/>
      <w:r>
        <w:rPr>
          <w:rFonts w:ascii="Calibri" w:hAnsi="Calibri" w:cs="Arial"/>
        </w:rPr>
        <w:t>млрд</w:t>
      </w:r>
      <w:proofErr w:type="spellEnd"/>
      <w:proofErr w:type="gramEnd"/>
      <w:r>
        <w:rPr>
          <w:rFonts w:ascii="Calibri" w:hAnsi="Calibri" w:cs="Arial"/>
        </w:rPr>
        <w:t xml:space="preserve"> рублей, хотя окончательная цена этой сделки не установлена. В начале октября </w:t>
      </w:r>
      <w:proofErr w:type="spellStart"/>
      <w:r>
        <w:rPr>
          <w:rFonts w:ascii="Calibri" w:hAnsi="Calibri" w:cs="Arial"/>
        </w:rPr>
        <w:t>набсовет</w:t>
      </w:r>
      <w:proofErr w:type="spellEnd"/>
      <w:r>
        <w:rPr>
          <w:rFonts w:ascii="Calibri" w:hAnsi="Calibri" w:cs="Arial"/>
        </w:rPr>
        <w:t xml:space="preserve"> ВТБ одобрил поэтапное приобретение 100% уставного капитала ТКБ. ВТБ выкупит у РЖД 10% акций ТКБ, до конца 2010 года увеличит свою долю в этом банке до 50%+1 акция, а в течение трех лет - до 100%.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Вновь значительно лучше рынка выглядели бумаги металлургических компаний на ожиданиях увеличения заказов ввиду прогнозируемого роста спроса на металл для строительства объектов чемпионата мира по футболу 2018 года, </w:t>
      </w:r>
      <w:proofErr w:type="gramStart"/>
      <w:r>
        <w:rPr>
          <w:rFonts w:ascii="Calibri" w:hAnsi="Calibri" w:cs="Arial"/>
        </w:rPr>
        <w:t>право</w:t>
      </w:r>
      <w:proofErr w:type="gramEnd"/>
      <w:r>
        <w:rPr>
          <w:rFonts w:ascii="Calibri" w:hAnsi="Calibri" w:cs="Arial"/>
        </w:rPr>
        <w:t xml:space="preserve"> на проведение которого получила Россия: ГМК Норильский никель (+3.41%), Северсталь (+1.87%), НЛМК (+4.79%), </w:t>
      </w:r>
      <w:proofErr w:type="spellStart"/>
      <w:r>
        <w:rPr>
          <w:rFonts w:ascii="Calibri" w:hAnsi="Calibri" w:cs="Arial"/>
        </w:rPr>
        <w:t>Мечел</w:t>
      </w:r>
      <w:proofErr w:type="spellEnd"/>
      <w:r>
        <w:rPr>
          <w:rFonts w:ascii="Calibri" w:hAnsi="Calibri" w:cs="Arial"/>
        </w:rPr>
        <w:t xml:space="preserve"> (+4.80%), ММК (+3.09%).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Лидерами </w:t>
      </w:r>
      <w:proofErr w:type="gramStart"/>
      <w:r>
        <w:rPr>
          <w:rFonts w:ascii="Calibri" w:hAnsi="Calibri" w:cs="Arial"/>
        </w:rPr>
        <w:t>роста стали акции производителей калийных удобрений</w:t>
      </w:r>
      <w:proofErr w:type="gramEnd"/>
      <w:r>
        <w:rPr>
          <w:rFonts w:ascii="Calibri" w:hAnsi="Calibri" w:cs="Arial"/>
        </w:rPr>
        <w:t xml:space="preserve"> на ожиданиях увеличения заказов на их продукцию: </w:t>
      </w:r>
      <w:proofErr w:type="spellStart"/>
      <w:r>
        <w:rPr>
          <w:rFonts w:ascii="Calibri" w:hAnsi="Calibri" w:cs="Arial"/>
        </w:rPr>
        <w:t>Уралкалий</w:t>
      </w:r>
      <w:proofErr w:type="spellEnd"/>
      <w:r>
        <w:rPr>
          <w:rFonts w:ascii="Calibri" w:hAnsi="Calibri" w:cs="Arial"/>
        </w:rPr>
        <w:t xml:space="preserve"> (+6.99%), Сильвинит (+4.27%). Также пользовались спросом у инвесторов бумаги </w:t>
      </w:r>
      <w:proofErr w:type="spellStart"/>
      <w:r>
        <w:rPr>
          <w:rFonts w:ascii="Calibri" w:hAnsi="Calibri" w:cs="Arial"/>
        </w:rPr>
        <w:t>автопроизводителей</w:t>
      </w:r>
      <w:proofErr w:type="spellEnd"/>
      <w:r>
        <w:rPr>
          <w:rFonts w:ascii="Calibri" w:hAnsi="Calibri" w:cs="Arial"/>
        </w:rPr>
        <w:t xml:space="preserve">: АвтоВАЗа (+3.70%), </w:t>
      </w:r>
      <w:proofErr w:type="spellStart"/>
      <w:r>
        <w:rPr>
          <w:rFonts w:ascii="Calibri" w:hAnsi="Calibri" w:cs="Arial"/>
        </w:rPr>
        <w:t>Соллерс</w:t>
      </w:r>
      <w:proofErr w:type="spellEnd"/>
      <w:r>
        <w:rPr>
          <w:rFonts w:ascii="Calibri" w:hAnsi="Calibri" w:cs="Arial"/>
        </w:rPr>
        <w:t xml:space="preserve"> (+3.80%).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АФК Система (+0.75%) продала 27.6% акций Система-Галс компаниям </w:t>
      </w:r>
      <w:proofErr w:type="spellStart"/>
      <w:r>
        <w:rPr>
          <w:rFonts w:ascii="Calibri" w:hAnsi="Calibri" w:cs="Arial"/>
        </w:rPr>
        <w:t>Blairwood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Ltd</w:t>
      </w:r>
      <w:proofErr w:type="spellEnd"/>
      <w:r>
        <w:rPr>
          <w:rFonts w:ascii="Calibri" w:hAnsi="Calibri" w:cs="Arial"/>
        </w:rPr>
        <w:t xml:space="preserve">. и </w:t>
      </w:r>
      <w:proofErr w:type="spellStart"/>
      <w:r>
        <w:rPr>
          <w:rFonts w:ascii="Calibri" w:hAnsi="Calibri" w:cs="Arial"/>
        </w:rPr>
        <w:t>Stoneflower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Ltd</w:t>
      </w:r>
      <w:proofErr w:type="spellEnd"/>
      <w:r>
        <w:rPr>
          <w:rFonts w:ascii="Calibri" w:hAnsi="Calibri" w:cs="Arial"/>
        </w:rPr>
        <w:t>., выкупившим по 13.8% акций. Сумма сделки в совокупности составила $70 млн.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Приток капитала в фонды, инвестирующие в акции РФ и стран СНГ, за период с 25 ноября по 1 декабря составил $26 </w:t>
      </w:r>
      <w:proofErr w:type="spellStart"/>
      <w:proofErr w:type="gramStart"/>
      <w:r>
        <w:rPr>
          <w:rFonts w:ascii="Calibri" w:hAnsi="Calibri" w:cs="Arial"/>
        </w:rPr>
        <w:t>млн</w:t>
      </w:r>
      <w:proofErr w:type="spellEnd"/>
      <w:proofErr w:type="gramEnd"/>
      <w:r>
        <w:rPr>
          <w:rFonts w:ascii="Calibri" w:hAnsi="Calibri" w:cs="Arial"/>
        </w:rPr>
        <w:t xml:space="preserve"> против оттока в размере $25 </w:t>
      </w:r>
      <w:proofErr w:type="spellStart"/>
      <w:r>
        <w:rPr>
          <w:rFonts w:ascii="Calibri" w:hAnsi="Calibri" w:cs="Arial"/>
        </w:rPr>
        <w:t>млн</w:t>
      </w:r>
      <w:proofErr w:type="spellEnd"/>
      <w:r>
        <w:rPr>
          <w:rFonts w:ascii="Calibri" w:hAnsi="Calibri" w:cs="Arial"/>
        </w:rPr>
        <w:t xml:space="preserve"> неделей ранее, по данным </w:t>
      </w:r>
      <w:proofErr w:type="spellStart"/>
      <w:r>
        <w:rPr>
          <w:rFonts w:ascii="Calibri" w:hAnsi="Calibri" w:cs="Arial"/>
        </w:rPr>
        <w:t>Emerging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Portfolio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Fund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Research</w:t>
      </w:r>
      <w:proofErr w:type="spellEnd"/>
      <w:r>
        <w:rPr>
          <w:rFonts w:ascii="Calibri" w:hAnsi="Calibri" w:cs="Arial"/>
        </w:rPr>
        <w:t xml:space="preserve"> (EPFR). При этом приток капитала в фонды, инвестирующие в акции РФ и стран СНГ, на прошедшей неделе был в основном обеспечен средствами, поступившими в фонды акций - $22 </w:t>
      </w:r>
      <w:proofErr w:type="spellStart"/>
      <w:proofErr w:type="gramStart"/>
      <w:r>
        <w:rPr>
          <w:rFonts w:ascii="Calibri" w:hAnsi="Calibri" w:cs="Arial"/>
        </w:rPr>
        <w:t>млн</w:t>
      </w:r>
      <w:proofErr w:type="spellEnd"/>
      <w:proofErr w:type="gramEnd"/>
      <w:r>
        <w:rPr>
          <w:rFonts w:ascii="Calibri" w:hAnsi="Calibri" w:cs="Arial"/>
        </w:rPr>
        <w:t xml:space="preserve"> притока. Между тем ETF (</w:t>
      </w:r>
      <w:proofErr w:type="spellStart"/>
      <w:r>
        <w:rPr>
          <w:rFonts w:ascii="Calibri" w:hAnsi="Calibri" w:cs="Arial"/>
        </w:rPr>
        <w:t>Exchange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Traded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Funds</w:t>
      </w:r>
      <w:proofErr w:type="spellEnd"/>
      <w:r>
        <w:rPr>
          <w:rFonts w:ascii="Calibri" w:hAnsi="Calibri" w:cs="Arial"/>
        </w:rPr>
        <w:t xml:space="preserve"> - индексные фонды, паи которых обращаются на бирже) привлекли $4 </w:t>
      </w:r>
      <w:proofErr w:type="spellStart"/>
      <w:proofErr w:type="gramStart"/>
      <w:r>
        <w:rPr>
          <w:rFonts w:ascii="Calibri" w:hAnsi="Calibri" w:cs="Arial"/>
        </w:rPr>
        <w:t>млн</w:t>
      </w:r>
      <w:proofErr w:type="spellEnd"/>
      <w:proofErr w:type="gramEnd"/>
      <w:r>
        <w:rPr>
          <w:rFonts w:ascii="Calibri" w:hAnsi="Calibri" w:cs="Arial"/>
        </w:rPr>
        <w:t xml:space="preserve"> против $21 </w:t>
      </w:r>
      <w:proofErr w:type="spellStart"/>
      <w:r>
        <w:rPr>
          <w:rFonts w:ascii="Calibri" w:hAnsi="Calibri" w:cs="Arial"/>
        </w:rPr>
        <w:t>млн</w:t>
      </w:r>
      <w:proofErr w:type="spellEnd"/>
      <w:r>
        <w:rPr>
          <w:rFonts w:ascii="Calibri" w:hAnsi="Calibri" w:cs="Arial"/>
        </w:rPr>
        <w:t xml:space="preserve"> за предыдущую неделю. Таким образом, с начала 2010 года по 1 декабря приток капитала в фонды, инвестирующие в акции РФ и стран СНГ, составил $2.805 млрд.</w:t>
      </w:r>
    </w:p>
    <w:p w:rsidR="003F7270" w:rsidRDefault="003F7270" w:rsidP="003F7270">
      <w:pPr>
        <w:spacing w:after="12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Инфляция в РФ в ноябре 2010 года составила 0.8% после роста на 0.5% в октябре, 0.8% - в сентябре, 0.6% - в августе, по 0.4% - в июле и июне, сообщил Росстат. С начала года инфляция зафиксирована на уровне 7.6%. В ноябре 2009 года инфляция составила 0.3%, а за январь-ноябрь – 8.4%. В годовом выражении инфляция в ноябре выросла до 8% с 7.5% в октябре, 7% - в сентябре, 6.1% - в августе, 5.5% - в июле, 5.8% - в июне и 6% - в мае и </w:t>
      </w:r>
      <w:proofErr w:type="gramStart"/>
      <w:r>
        <w:rPr>
          <w:rFonts w:ascii="Calibri" w:hAnsi="Calibri" w:cs="Arial"/>
        </w:rPr>
        <w:t>апреле</w:t>
      </w:r>
      <w:proofErr w:type="gramEnd"/>
      <w:r>
        <w:rPr>
          <w:rFonts w:ascii="Calibri" w:hAnsi="Calibri" w:cs="Arial"/>
        </w:rPr>
        <w:t>.</w:t>
      </w:r>
    </w:p>
    <w:p w:rsidR="003F7270" w:rsidRDefault="003F7270" w:rsidP="003F7270">
      <w:pPr>
        <w:pStyle w:val="a4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3F7270" w:rsidRDefault="003F7270" w:rsidP="003F7270">
      <w:pPr>
        <w:spacing w:after="200"/>
        <w:jc w:val="both"/>
      </w:pPr>
      <w:r>
        <w:rPr>
          <w:rFonts w:ascii="Calibri" w:hAnsi="Calibri"/>
        </w:rPr>
        <w:t xml:space="preserve">Если у вас возникли вопросы, просим обращаться к Владимиру </w:t>
      </w:r>
      <w:proofErr w:type="spellStart"/>
      <w:r>
        <w:rPr>
          <w:rFonts w:ascii="Calibri" w:hAnsi="Calibri"/>
        </w:rPr>
        <w:t>Рожанковскому</w:t>
      </w:r>
      <w:proofErr w:type="spellEnd"/>
      <w:r>
        <w:rPr>
          <w:rFonts w:ascii="Calibri" w:hAnsi="Calibri"/>
        </w:rPr>
        <w:t>, директору аналитического департамента ИГ «Норд-Капитал»:</w:t>
      </w:r>
    </w:p>
    <w:p w:rsidR="003F7270" w:rsidRDefault="003F7270" w:rsidP="003F7270">
      <w:pPr>
        <w:spacing w:after="200"/>
        <w:jc w:val="both"/>
      </w:pPr>
      <w:r>
        <w:rPr>
          <w:rFonts w:ascii="Calibri" w:hAnsi="Calibri"/>
        </w:rPr>
        <w:t>тел.  +7 (495) 544 41 87</w:t>
      </w:r>
    </w:p>
    <w:p w:rsidR="003F7270" w:rsidRDefault="003F7270" w:rsidP="003F7270">
      <w:pPr>
        <w:spacing w:after="200"/>
        <w:jc w:val="both"/>
      </w:pPr>
      <w:proofErr w:type="spellStart"/>
      <w:r>
        <w:rPr>
          <w:rFonts w:ascii="Calibri" w:hAnsi="Calibri"/>
        </w:rPr>
        <w:t>моб</w:t>
      </w:r>
      <w:proofErr w:type="spellEnd"/>
      <w:r>
        <w:rPr>
          <w:rFonts w:ascii="Calibri" w:hAnsi="Calibri"/>
        </w:rPr>
        <w:t>. +7 (906) 793 70 29</w:t>
      </w:r>
    </w:p>
    <w:p w:rsidR="003F7270" w:rsidRDefault="003F7270" w:rsidP="003F7270">
      <w:pPr>
        <w:spacing w:after="200"/>
        <w:jc w:val="both"/>
      </w:pPr>
      <w:hyperlink r:id="rId4" w:history="1">
        <w:r>
          <w:rPr>
            <w:rStyle w:val="a3"/>
            <w:rFonts w:ascii="Calibri" w:hAnsi="Calibri"/>
          </w:rPr>
          <w:t>rojankovski@ncapital.ru</w:t>
        </w:r>
      </w:hyperlink>
    </w:p>
    <w:p w:rsidR="00AF6FE2" w:rsidRDefault="003F7270"/>
    <w:sectPr w:rsidR="00AF6FE2" w:rsidSect="00AA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270"/>
    <w:rsid w:val="003F7270"/>
    <w:rsid w:val="004F5001"/>
    <w:rsid w:val="00AA0F55"/>
    <w:rsid w:val="00C2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F727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72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72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72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jankovski@ncap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1246</Words>
  <Characters>7104</Characters>
  <Application>Microsoft Office Word</Application>
  <DocSecurity>0</DocSecurity>
  <Lines>59</Lines>
  <Paragraphs>16</Paragraphs>
  <ScaleCrop>false</ScaleCrop>
  <Company>Finam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Mkolyvanova</dc:creator>
  <cp:keywords/>
  <dc:description/>
  <cp:lastModifiedBy>Mkolyvanova</cp:lastModifiedBy>
  <cp:revision>1</cp:revision>
  <dcterms:created xsi:type="dcterms:W3CDTF">2010-12-06T08:36:00Z</dcterms:created>
  <dcterms:modified xsi:type="dcterms:W3CDTF">2010-12-06T08:38:00Z</dcterms:modified>
</cp:coreProperties>
</file>